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left="0" w:firstLine="0"/>
        <w:jc w:val="center"/>
        <w:rPr>
          <w:rStyle w:val="11"/>
          <w:rFonts w:hint="eastAsia" w:ascii="方正粗黑宋简体" w:hAnsi="方正粗黑宋简体" w:eastAsia="方正粗黑宋简体" w:cs="方正粗黑宋简体"/>
          <w:i w:val="0"/>
          <w:iCs w:val="0"/>
          <w:caps w:val="0"/>
          <w:color w:val="000000"/>
          <w:spacing w:val="0"/>
          <w:sz w:val="32"/>
          <w:szCs w:val="32"/>
        </w:rPr>
      </w:pPr>
      <w:bookmarkStart w:id="210" w:name="_GoBack"/>
      <w:r>
        <w:rPr>
          <w:rStyle w:val="11"/>
          <w:rFonts w:hint="eastAsia" w:ascii="方正粗黑宋简体" w:hAnsi="方正粗黑宋简体" w:eastAsia="方正粗黑宋简体" w:cs="方正粗黑宋简体"/>
          <w:i w:val="0"/>
          <w:iCs w:val="0"/>
          <w:caps w:val="0"/>
          <w:color w:val="000000"/>
          <w:spacing w:val="0"/>
          <w:sz w:val="32"/>
          <w:szCs w:val="32"/>
        </w:rPr>
        <w:t>陕西锌业有限公司</w:t>
      </w:r>
    </w:p>
    <w:p w14:paraId="00A7A40E">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left="0" w:firstLine="0"/>
        <w:jc w:val="center"/>
        <w:rPr>
          <w:rFonts w:hint="eastAsia" w:ascii="方正粗黑宋简体" w:hAnsi="方正粗黑宋简体" w:eastAsia="方正粗黑宋简体" w:cs="方正粗黑宋简体"/>
          <w:i w:val="0"/>
          <w:iCs w:val="0"/>
          <w:caps w:val="0"/>
          <w:color w:val="000000"/>
          <w:spacing w:val="0"/>
          <w:sz w:val="32"/>
          <w:szCs w:val="32"/>
          <w:lang w:val="en-US" w:eastAsia="zh-CN"/>
        </w:rPr>
      </w:pP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2025年11月骨胶、丁胺黑药采购项目</w:t>
      </w:r>
      <w:r>
        <w:rPr>
          <w:rStyle w:val="11"/>
          <w:rFonts w:hint="eastAsia" w:ascii="方正粗黑宋简体" w:hAnsi="方正粗黑宋简体" w:eastAsia="方正粗黑宋简体" w:cs="方正粗黑宋简体"/>
          <w:i w:val="0"/>
          <w:iCs w:val="0"/>
          <w:caps w:val="0"/>
          <w:color w:val="000000"/>
          <w:spacing w:val="0"/>
          <w:sz w:val="32"/>
          <w:szCs w:val="32"/>
        </w:rPr>
        <w:t>询比采购</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邀请函</w:t>
      </w:r>
    </w:p>
    <w:p w14:paraId="1EC36912">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采购骨胶、丁胺黑药若干</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80" w:lineRule="exact"/>
        <w:ind w:firstLine="562" w:firstLineChars="200"/>
        <w:jc w:val="both"/>
        <w:rPr>
          <w:rFonts w:hint="default" w:ascii="仿宋" w:hAnsi="仿宋" w:eastAsia="仿宋" w:cs="仿宋"/>
          <w:b/>
          <w:bCs/>
          <w:color w:val="auto"/>
          <w:sz w:val="28"/>
          <w:szCs w:val="28"/>
          <w:lang w:val="en-US"/>
        </w:rPr>
      </w:pPr>
      <w:bookmarkStart w:id="0" w:name="_Toc4593"/>
      <w:bookmarkStart w:id="1" w:name="_Toc14440"/>
      <w:bookmarkStart w:id="2" w:name="_Toc20230"/>
      <w:bookmarkStart w:id="3" w:name="_Toc33795775"/>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8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33795776"/>
      <w:bookmarkStart w:id="5" w:name="_Toc14565"/>
      <w:bookmarkStart w:id="6" w:name="_Toc7037"/>
      <w:bookmarkStart w:id="7" w:name="_Toc11471"/>
      <w:r>
        <w:rPr>
          <w:rFonts w:hint="eastAsia" w:ascii="仿宋" w:hAnsi="仿宋" w:eastAsia="仿宋" w:cs="仿宋"/>
          <w:color w:val="auto"/>
          <w:sz w:val="28"/>
          <w:szCs w:val="28"/>
          <w:lang w:eastAsia="zh-CN"/>
        </w:rPr>
        <w:t>陕西锌业有限公司</w:t>
      </w:r>
      <w:r>
        <w:rPr>
          <w:rFonts w:hint="eastAsia" w:ascii="仿宋" w:hAnsi="仿宋" w:eastAsia="仿宋" w:cs="仿宋"/>
          <w:i w:val="0"/>
          <w:iCs w:val="0"/>
          <w:caps w:val="0"/>
          <w:color w:val="000000"/>
          <w:spacing w:val="0"/>
          <w:sz w:val="28"/>
          <w:szCs w:val="28"/>
          <w:lang w:val="en-US" w:eastAsia="zh-CN"/>
        </w:rPr>
        <w:t>骨胶、丁胺黑药</w:t>
      </w:r>
      <w:r>
        <w:rPr>
          <w:rFonts w:hint="eastAsia" w:ascii="仿宋" w:hAnsi="仿宋" w:eastAsia="仿宋" w:cs="仿宋"/>
          <w:color w:val="auto"/>
          <w:sz w:val="28"/>
          <w:szCs w:val="28"/>
          <w:lang w:val="en-US" w:eastAsia="zh-CN"/>
        </w:rPr>
        <w:t>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供货期限至12月30日，在此期间，如遇采购人检修、减产、生产工艺调整等，采购人根据实际情况适时调整采购量。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（四）交货地点：采购方公司辅材库房（带磅码单、质检单、合格证）。</w:t>
      </w:r>
    </w:p>
    <w:p w14:paraId="389EDD44">
      <w:pPr>
        <w:keepNext w:val="0"/>
        <w:keepLines w:val="0"/>
        <w:pageBreakBefore w:val="0"/>
        <w:numPr>
          <w:ilvl w:val="0"/>
          <w:numId w:val="0"/>
        </w:numPr>
        <w:kinsoku/>
        <w:wordWrap/>
        <w:overflowPunct/>
        <w:topLinePunct w:val="0"/>
        <w:autoSpaceDE/>
        <w:autoSpaceDN/>
        <w:bidi w:val="0"/>
        <w:adjustRightInd/>
        <w:snapToGrid/>
        <w:spacing w:line="480" w:lineRule="exact"/>
        <w:ind w:firstLine="280" w:firstLineChars="1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（五）数量：骨胶5吨，</w:t>
      </w:r>
      <w:r>
        <w:rPr>
          <w:rFonts w:hint="eastAsia" w:ascii="仿宋" w:hAnsi="仿宋" w:eastAsia="仿宋" w:cs="仿宋"/>
          <w:i w:val="0"/>
          <w:iCs w:val="0"/>
          <w:caps w:val="0"/>
          <w:color w:val="000000"/>
          <w:spacing w:val="0"/>
          <w:sz w:val="28"/>
          <w:szCs w:val="28"/>
          <w:lang w:val="en-US" w:eastAsia="zh-CN"/>
        </w:rPr>
        <w:t>丁胺黑药2</w:t>
      </w:r>
      <w:r>
        <w:rPr>
          <w:rFonts w:hint="eastAsia" w:ascii="仿宋" w:hAnsi="仿宋" w:eastAsia="仿宋" w:cs="仿宋"/>
          <w:color w:val="auto"/>
          <w:sz w:val="28"/>
          <w:szCs w:val="28"/>
          <w:lang w:val="en-US" w:eastAsia="zh-CN"/>
        </w:rPr>
        <w:t>0吨。</w:t>
      </w:r>
    </w:p>
    <w:p w14:paraId="70B87450">
      <w:pPr>
        <w:keepNext w:val="0"/>
        <w:keepLines w:val="0"/>
        <w:pageBreakBefore w:val="0"/>
        <w:widowControl w:val="0"/>
        <w:kinsoku/>
        <w:wordWrap/>
        <w:overflowPunct/>
        <w:topLinePunct w:val="0"/>
        <w:autoSpaceDE/>
        <w:autoSpaceDN/>
        <w:bidi w:val="0"/>
        <w:adjustRightInd w:val="0"/>
        <w:snapToGrid/>
        <w:spacing w:line="48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p>
    <w:p w14:paraId="3498EC47">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b w:val="0"/>
          <w:bCs w:val="0"/>
          <w:color w:val="auto"/>
          <w:sz w:val="28"/>
          <w:szCs w:val="28"/>
          <w:lang w:val="en-US" w:eastAsia="zh-CN"/>
        </w:rPr>
        <w:t xml:space="preserve"> 1、骨胶</w:t>
      </w:r>
      <w:r>
        <w:rPr>
          <w:rFonts w:hint="eastAsia" w:ascii="仿宋" w:hAnsi="仿宋" w:eastAsia="仿宋" w:cs="仿宋"/>
          <w:b w:val="0"/>
          <w:bCs w:val="0"/>
          <w:color w:val="auto"/>
          <w:sz w:val="28"/>
          <w:szCs w:val="28"/>
        </w:rPr>
        <w:t>：</w:t>
      </w:r>
      <w:r>
        <w:rPr>
          <w:rFonts w:hint="eastAsia" w:ascii="仿宋" w:hAnsi="仿宋" w:eastAsia="仿宋" w:cs="仿宋"/>
          <w:b w:val="0"/>
          <w:bCs w:val="0"/>
          <w:sz w:val="28"/>
          <w:szCs w:val="28"/>
          <w:lang w:eastAsia="zh-CN"/>
        </w:rPr>
        <w:t>按</w:t>
      </w:r>
      <w:r>
        <w:rPr>
          <w:rFonts w:hint="eastAsia" w:ascii="仿宋" w:hAnsi="仿宋" w:eastAsia="仿宋" w:cs="仿宋"/>
          <w:b w:val="0"/>
          <w:bCs w:val="0"/>
          <w:sz w:val="28"/>
          <w:szCs w:val="28"/>
          <w:lang w:val="en-US" w:eastAsia="zh-CN"/>
        </w:rPr>
        <w:t>Q</w:t>
      </w:r>
      <w:r>
        <w:rPr>
          <w:rFonts w:hint="eastAsia" w:ascii="仿宋" w:hAnsi="仿宋" w:eastAsia="仿宋" w:cs="仿宋"/>
          <w:b w:val="0"/>
          <w:bCs w:val="0"/>
          <w:color w:val="000000"/>
          <w:kern w:val="0"/>
          <w:sz w:val="28"/>
          <w:szCs w:val="28"/>
        </w:rPr>
        <w:t>B/T1</w:t>
      </w:r>
      <w:r>
        <w:rPr>
          <w:rFonts w:hint="eastAsia" w:ascii="仿宋" w:hAnsi="仿宋" w:eastAsia="仿宋" w:cs="仿宋"/>
          <w:b w:val="0"/>
          <w:bCs w:val="0"/>
          <w:sz w:val="28"/>
          <w:szCs w:val="28"/>
        </w:rPr>
        <w:t>99</w:t>
      </w:r>
      <w:r>
        <w:rPr>
          <w:rFonts w:hint="eastAsia" w:ascii="仿宋" w:hAnsi="仿宋" w:eastAsia="仿宋" w:cs="仿宋"/>
          <w:b w:val="0"/>
          <w:bCs w:val="0"/>
          <w:sz w:val="28"/>
          <w:szCs w:val="28"/>
          <w:lang w:val="en-US" w:eastAsia="zh-CN"/>
        </w:rPr>
        <w:t>6</w:t>
      </w:r>
      <w:r>
        <w:rPr>
          <w:rFonts w:hint="eastAsia" w:ascii="仿宋" w:hAnsi="仿宋" w:eastAsia="仿宋" w:cs="仿宋"/>
          <w:b w:val="0"/>
          <w:bCs w:val="0"/>
          <w:sz w:val="28"/>
          <w:szCs w:val="28"/>
        </w:rPr>
        <w:t>-2005</w:t>
      </w:r>
      <w:r>
        <w:rPr>
          <w:rFonts w:hint="eastAsia" w:ascii="仿宋" w:hAnsi="仿宋" w:eastAsia="仿宋" w:cs="仿宋"/>
          <w:b w:val="0"/>
          <w:bCs w:val="0"/>
          <w:color w:val="000000"/>
          <w:kern w:val="0"/>
          <w:sz w:val="28"/>
          <w:szCs w:val="28"/>
        </w:rPr>
        <w:t>一级品标准执行</w:t>
      </w:r>
      <w:r>
        <w:rPr>
          <w:rFonts w:hint="eastAsia" w:ascii="仿宋" w:hAnsi="仿宋" w:eastAsia="仿宋" w:cs="仿宋"/>
          <w:b w:val="0"/>
          <w:bCs w:val="0"/>
          <w:color w:val="000000"/>
          <w:kern w:val="0"/>
          <w:sz w:val="28"/>
          <w:szCs w:val="28"/>
          <w:lang w:eastAsia="zh-CN"/>
        </w:rPr>
        <w:t>，</w:t>
      </w:r>
      <w:r>
        <w:rPr>
          <w:rFonts w:hint="eastAsia" w:ascii="仿宋" w:hAnsi="仿宋" w:eastAsia="仿宋" w:cs="仿宋"/>
          <w:b w:val="0"/>
          <w:bCs w:val="0"/>
          <w:sz w:val="28"/>
          <w:szCs w:val="28"/>
          <w:lang w:eastAsia="zh-CN"/>
        </w:rPr>
        <w:t>动物胶、黄色透明圆珠颗粒，</w:t>
      </w:r>
      <w:r>
        <w:rPr>
          <w:rFonts w:hint="eastAsia" w:ascii="仿宋" w:hAnsi="仿宋" w:eastAsia="仿宋" w:cs="仿宋"/>
          <w:b w:val="0"/>
          <w:bCs w:val="0"/>
          <w:color w:val="000000"/>
          <w:kern w:val="0"/>
          <w:sz w:val="28"/>
          <w:szCs w:val="28"/>
        </w:rPr>
        <w:t>骨胶</w:t>
      </w:r>
      <w:r>
        <w:rPr>
          <w:rFonts w:hint="eastAsia" w:ascii="仿宋" w:hAnsi="仿宋" w:eastAsia="仿宋" w:cs="仿宋"/>
          <w:b w:val="0"/>
          <w:bCs w:val="0"/>
          <w:sz w:val="28"/>
          <w:szCs w:val="28"/>
        </w:rPr>
        <w:t>粘度≥3.4</w:t>
      </w:r>
      <w:r>
        <w:rPr>
          <w:rFonts w:hint="eastAsia" w:ascii="仿宋" w:hAnsi="仿宋" w:eastAsia="仿宋" w:cs="仿宋"/>
          <w:b w:val="0"/>
          <w:bCs w:val="0"/>
          <w:sz w:val="28"/>
          <w:szCs w:val="28"/>
          <w:lang w:eastAsia="zh-CN"/>
        </w:rPr>
        <w:t>，胶冻强度</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120，附质检单。报价方须将所报骨胶的样品（作为采购方评审入围单位的条件和货到后采购方接收货物的参照样）送到或邮递至采购方，未提供样品的骨胶报价为无效报价。</w:t>
      </w:r>
    </w:p>
    <w:p w14:paraId="5FE1AB56">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b w:val="0"/>
          <w:bCs w:val="0"/>
          <w:sz w:val="28"/>
          <w:szCs w:val="28"/>
          <w:lang w:val="en-US" w:eastAsia="zh-CN"/>
        </w:rPr>
        <w:t>注：报价方邮寄样品时，邮件（包裹）表面不能显示邮递方单位名称，报价方单位名称可在邮件或包裹内注明。</w:t>
      </w:r>
    </w:p>
    <w:p w14:paraId="18D77ED7">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i w:val="0"/>
          <w:iCs w:val="0"/>
          <w:caps w:val="0"/>
          <w:color w:val="000000"/>
          <w:spacing w:val="0"/>
          <w:sz w:val="28"/>
          <w:szCs w:val="28"/>
          <w:lang w:val="en-US" w:eastAsia="zh-CN"/>
        </w:rPr>
        <w:t>丁胺黑药：</w:t>
      </w:r>
      <w:r>
        <w:rPr>
          <w:rFonts w:hint="eastAsia" w:ascii="仿宋" w:hAnsi="仿宋" w:eastAsia="仿宋" w:cs="仿宋"/>
          <w:b w:val="0"/>
          <w:bCs w:val="0"/>
          <w:sz w:val="28"/>
          <w:szCs w:val="28"/>
        </w:rPr>
        <w:t>按YS/T278-2011标准执行，</w:t>
      </w:r>
      <w:r>
        <w:rPr>
          <w:rFonts w:hint="eastAsia" w:ascii="仿宋" w:hAnsi="仿宋" w:eastAsia="仿宋" w:cs="仿宋"/>
          <w:b w:val="0"/>
          <w:bCs w:val="0"/>
          <w:sz w:val="28"/>
          <w:szCs w:val="28"/>
          <w:lang w:val="en-US" w:eastAsia="zh-CN"/>
        </w:rPr>
        <w:t>合格</w:t>
      </w:r>
      <w:r>
        <w:rPr>
          <w:rFonts w:hint="eastAsia" w:ascii="仿宋" w:hAnsi="仿宋" w:eastAsia="仿宋" w:cs="仿宋"/>
          <w:b w:val="0"/>
          <w:bCs w:val="0"/>
          <w:sz w:val="28"/>
          <w:szCs w:val="28"/>
        </w:rPr>
        <w:t>品≥9</w:t>
      </w: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,报价方须了解采购方的工况使用情况，对所供货物质量负责，满足采购方生产需求。</w:t>
      </w:r>
    </w:p>
    <w:p w14:paraId="0B4DFD63">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3.</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14196"/>
      <w:bookmarkStart w:id="9" w:name="_Toc14688"/>
      <w:bookmarkStart w:id="10" w:name="_Toc29895"/>
      <w:bookmarkStart w:id="11" w:name="_Toc33795778"/>
    </w:p>
    <w:p w14:paraId="748C8C7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280" w:firstLineChars="1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）运输方式及到达站港和费用负担：汽车运输，</w:t>
      </w:r>
      <w:r>
        <w:rPr>
          <w:rFonts w:hint="eastAsia" w:ascii="仿宋" w:hAnsi="仿宋" w:eastAsia="仿宋" w:cs="仿宋"/>
          <w:b w:val="0"/>
          <w:bCs w:val="0"/>
          <w:sz w:val="28"/>
          <w:szCs w:val="28"/>
          <w:highlight w:val="none"/>
        </w:rPr>
        <w:t>运输费用由</w:t>
      </w:r>
      <w:r>
        <w:rPr>
          <w:rFonts w:hint="eastAsia" w:ascii="仿宋" w:hAnsi="仿宋" w:eastAsia="仿宋" w:cs="仿宋"/>
          <w:b w:val="0"/>
          <w:bCs w:val="0"/>
          <w:sz w:val="28"/>
          <w:szCs w:val="28"/>
          <w:highlight w:val="none"/>
          <w:lang w:val="en-US" w:eastAsia="zh-CN"/>
        </w:rPr>
        <w:t>报</w:t>
      </w:r>
      <w:r>
        <w:rPr>
          <w:rFonts w:hint="eastAsia" w:ascii="仿宋" w:hAnsi="仿宋" w:eastAsia="仿宋" w:cs="仿宋"/>
          <w:b w:val="0"/>
          <w:bCs w:val="0"/>
          <w:sz w:val="28"/>
          <w:szCs w:val="28"/>
          <w:highlight w:val="none"/>
        </w:rPr>
        <w:t>价方承担，运输车辆必须符合国家安全</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环保</w:t>
      </w:r>
      <w:r>
        <w:rPr>
          <w:rFonts w:hint="eastAsia" w:ascii="仿宋" w:hAnsi="仿宋" w:eastAsia="仿宋" w:cs="仿宋"/>
          <w:b w:val="0"/>
          <w:bCs w:val="0"/>
          <w:sz w:val="28"/>
          <w:szCs w:val="28"/>
          <w:highlight w:val="none"/>
        </w:rPr>
        <w:t>管理需要，否则不允许进入</w:t>
      </w:r>
      <w:r>
        <w:rPr>
          <w:rFonts w:hint="eastAsia" w:ascii="仿宋" w:hAnsi="仿宋" w:eastAsia="仿宋" w:cs="仿宋"/>
          <w:b w:val="0"/>
          <w:bCs w:val="0"/>
          <w:sz w:val="28"/>
          <w:szCs w:val="28"/>
          <w:highlight w:val="none"/>
          <w:lang w:eastAsia="zh-CN"/>
        </w:rPr>
        <w:t>采</w:t>
      </w:r>
      <w:r>
        <w:rPr>
          <w:rFonts w:hint="eastAsia" w:ascii="仿宋" w:hAnsi="仿宋" w:eastAsia="仿宋" w:cs="仿宋"/>
          <w:b w:val="0"/>
          <w:bCs w:val="0"/>
          <w:sz w:val="28"/>
          <w:szCs w:val="28"/>
          <w:highlight w:val="none"/>
        </w:rPr>
        <w:t>购方厂内</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运输安全责任由报价方承担，采购方不负任何责任。</w:t>
      </w:r>
    </w:p>
    <w:p w14:paraId="24BAC03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）合理损耗及计算方法：无损耗，以采购方计量为准。</w:t>
      </w:r>
    </w:p>
    <w:p w14:paraId="54A46891">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）包装标准，包装物的供应及回收：</w:t>
      </w:r>
      <w:r>
        <w:rPr>
          <w:rFonts w:hint="eastAsia" w:ascii="仿宋" w:hAnsi="仿宋" w:eastAsia="仿宋" w:cs="仿宋"/>
          <w:bCs/>
          <w:color w:val="auto"/>
          <w:sz w:val="28"/>
          <w:szCs w:val="28"/>
          <w:lang w:val="en-US" w:eastAsia="zh-CN"/>
        </w:rPr>
        <w:t>袋装，包装物不回收</w:t>
      </w:r>
      <w:r>
        <w:rPr>
          <w:rFonts w:hint="eastAsia" w:ascii="仿宋" w:hAnsi="仿宋" w:eastAsia="仿宋" w:cs="仿宋"/>
          <w:b w:val="0"/>
          <w:bCs w:val="0"/>
          <w:sz w:val="28"/>
          <w:szCs w:val="28"/>
          <w:highlight w:val="none"/>
          <w:lang w:val="en-US" w:eastAsia="zh-CN"/>
        </w:rPr>
        <w:t>。</w:t>
      </w:r>
    </w:p>
    <w:p w14:paraId="66177F4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六款质量标准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22566567">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十一</w:t>
      </w:r>
      <w:r>
        <w:rPr>
          <w:rFonts w:hint="eastAsia" w:ascii="仿宋" w:hAnsi="仿宋" w:eastAsia="仿宋" w:cs="仿宋"/>
          <w:bCs/>
          <w:color w:val="auto"/>
          <w:sz w:val="28"/>
          <w:szCs w:val="28"/>
          <w:lang w:eastAsia="zh-CN"/>
        </w:rPr>
        <w:t>）结算</w:t>
      </w:r>
      <w:r>
        <w:rPr>
          <w:rFonts w:hint="eastAsia" w:ascii="仿宋" w:hAnsi="仿宋" w:eastAsia="仿宋" w:cs="仿宋"/>
          <w:bCs/>
          <w:color w:val="auto"/>
          <w:sz w:val="28"/>
          <w:szCs w:val="28"/>
          <w:lang w:val="en-US" w:eastAsia="zh-CN"/>
        </w:rPr>
        <w:t>细则</w:t>
      </w: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方式、标准及期限：</w:t>
      </w:r>
    </w:p>
    <w:p w14:paraId="6021050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highlight w:val="none"/>
          <w:lang w:val="en-US" w:eastAsia="zh-CN"/>
        </w:rPr>
        <w:t>货到验收合格后，报价</w:t>
      </w:r>
      <w:r>
        <w:rPr>
          <w:rFonts w:hint="eastAsia" w:ascii="仿宋" w:hAnsi="仿宋" w:eastAsia="仿宋" w:cs="仿宋"/>
          <w:b w:val="0"/>
          <w:bCs w:val="0"/>
          <w:sz w:val="28"/>
          <w:szCs w:val="28"/>
          <w:highlight w:val="none"/>
          <w:lang w:eastAsia="zh-CN"/>
        </w:rPr>
        <w:t>方提供</w:t>
      </w:r>
      <w:r>
        <w:rPr>
          <w:rFonts w:hint="eastAsia" w:ascii="仿宋" w:hAnsi="仿宋" w:eastAsia="仿宋" w:cs="仿宋"/>
          <w:b w:val="0"/>
          <w:bCs w:val="0"/>
          <w:sz w:val="28"/>
          <w:szCs w:val="28"/>
          <w:highlight w:val="none"/>
          <w:lang w:val="en-US" w:eastAsia="zh-CN"/>
        </w:rPr>
        <w:t>全额增值税</w:t>
      </w:r>
      <w:r>
        <w:rPr>
          <w:rFonts w:hint="eastAsia" w:ascii="仿宋" w:hAnsi="仿宋" w:eastAsia="仿宋" w:cs="仿宋"/>
          <w:b w:val="0"/>
          <w:bCs w:val="0"/>
          <w:sz w:val="28"/>
          <w:szCs w:val="28"/>
          <w:highlight w:val="none"/>
          <w:lang w:eastAsia="zh-CN"/>
        </w:rPr>
        <w:t>发票，</w:t>
      </w:r>
      <w:r>
        <w:rPr>
          <w:rFonts w:hint="eastAsia" w:ascii="仿宋" w:hAnsi="仿宋" w:eastAsia="仿宋" w:cs="仿宋"/>
          <w:b w:val="0"/>
          <w:bCs w:val="0"/>
          <w:sz w:val="28"/>
          <w:szCs w:val="28"/>
          <w:highlight w:val="none"/>
          <w:lang w:val="en-US" w:eastAsia="zh-CN"/>
        </w:rPr>
        <w:t>挂账</w:t>
      </w:r>
      <w:r>
        <w:rPr>
          <w:rFonts w:hint="eastAsia" w:ascii="仿宋" w:hAnsi="仿宋" w:eastAsia="仿宋" w:cs="仿宋"/>
          <w:b w:val="0"/>
          <w:bCs w:val="0"/>
          <w:sz w:val="28"/>
          <w:szCs w:val="28"/>
          <w:highlight w:val="none"/>
          <w:lang w:eastAsia="zh-CN"/>
        </w:rPr>
        <w:t>后</w:t>
      </w:r>
      <w:r>
        <w:rPr>
          <w:rFonts w:hint="eastAsia" w:ascii="仿宋" w:hAnsi="仿宋" w:eastAsia="仿宋" w:cs="仿宋"/>
          <w:b w:val="0"/>
          <w:bCs w:val="0"/>
          <w:sz w:val="28"/>
          <w:szCs w:val="28"/>
          <w:highlight w:val="none"/>
          <w:lang w:val="en-US" w:eastAsia="zh-CN"/>
        </w:rPr>
        <w:t>三</w:t>
      </w:r>
      <w:r>
        <w:rPr>
          <w:rFonts w:hint="eastAsia" w:ascii="仿宋" w:hAnsi="仿宋" w:eastAsia="仿宋" w:cs="仿宋"/>
          <w:b w:val="0"/>
          <w:bCs w:val="0"/>
          <w:sz w:val="28"/>
          <w:szCs w:val="28"/>
          <w:highlight w:val="none"/>
        </w:rPr>
        <w:t>月内</w:t>
      </w:r>
      <w:r>
        <w:rPr>
          <w:rFonts w:hint="eastAsia" w:ascii="仿宋" w:hAnsi="仿宋" w:eastAsia="仿宋" w:cs="仿宋"/>
          <w:b w:val="0"/>
          <w:bCs w:val="0"/>
          <w:sz w:val="28"/>
          <w:szCs w:val="28"/>
          <w:highlight w:val="none"/>
          <w:lang w:val="en-US" w:eastAsia="zh-CN"/>
        </w:rPr>
        <w:t>付款</w:t>
      </w:r>
      <w:r>
        <w:rPr>
          <w:rFonts w:hint="eastAsia" w:ascii="仿宋" w:hAnsi="仿宋" w:eastAsia="仿宋" w:cs="仿宋"/>
          <w:b w:val="0"/>
          <w:bCs w:val="0"/>
          <w:sz w:val="28"/>
          <w:szCs w:val="28"/>
          <w:highlight w:val="none"/>
          <w:lang w:eastAsia="zh-CN"/>
        </w:rPr>
        <w:t>。</w:t>
      </w:r>
    </w:p>
    <w:p w14:paraId="7AC338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供应商2023年5月至今具有类似业绩（提供合同复印件，时间以合同签订时间为准）；</w:t>
      </w:r>
    </w:p>
    <w:p w14:paraId="04C0E15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480" w:lineRule="exact"/>
        <w:ind w:left="0" w:firstLine="280" w:firstLineChars="1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480"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247513966"/>
      <w:bookmarkStart w:id="13" w:name="_Toc144974510"/>
      <w:bookmarkStart w:id="14" w:name="_Toc361508598"/>
      <w:bookmarkStart w:id="15" w:name="_Toc152042318"/>
      <w:bookmarkStart w:id="16" w:name="_Toc247527567"/>
      <w:bookmarkStart w:id="17" w:name="_Toc152045542"/>
      <w:bookmarkStart w:id="18" w:name="_Toc300834963"/>
      <w:bookmarkStart w:id="19" w:name="_Toc369531529"/>
      <w:bookmarkStart w:id="20" w:name="_Toc352691486"/>
      <w:bookmarkStart w:id="21" w:name="_Toc25772"/>
      <w:bookmarkStart w:id="22" w:name="_Toc384308223"/>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247513967"/>
      <w:bookmarkStart w:id="24" w:name="_Toc300834964"/>
      <w:bookmarkStart w:id="25" w:name="_Toc352691487"/>
      <w:bookmarkStart w:id="26" w:name="_Toc369531530"/>
      <w:bookmarkStart w:id="27" w:name="_Toc15242"/>
      <w:bookmarkStart w:id="28" w:name="_Toc247527568"/>
      <w:bookmarkStart w:id="29" w:name="_Toc144974511"/>
      <w:bookmarkStart w:id="30" w:name="_Toc361508599"/>
      <w:bookmarkStart w:id="31" w:name="_Toc384308224"/>
      <w:bookmarkStart w:id="32" w:name="_Toc152045543"/>
      <w:bookmarkStart w:id="33" w:name="_Toc152042319"/>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b/>
          <w:bCs/>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b/>
          <w:bCs/>
          <w:color w:val="auto"/>
          <w:sz w:val="28"/>
          <w:szCs w:val="28"/>
          <w:lang w:val="en-US" w:eastAsia="zh-CN"/>
        </w:rPr>
        <w:t>报价单</w:t>
      </w:r>
      <w:r>
        <w:rPr>
          <w:rFonts w:hint="eastAsia" w:ascii="仿宋" w:hAnsi="仿宋" w:eastAsia="仿宋" w:cs="仿宋"/>
          <w:b/>
          <w:bCs/>
          <w:color w:val="auto"/>
          <w:sz w:val="28"/>
          <w:szCs w:val="28"/>
          <w:lang w:eastAsia="zh-CN"/>
        </w:rPr>
        <w:t>响应有效期</w:t>
      </w:r>
      <w:r>
        <w:rPr>
          <w:rFonts w:hint="eastAsia" w:ascii="仿宋" w:hAnsi="仿宋" w:eastAsia="仿宋" w:cs="仿宋"/>
          <w:b/>
          <w:bCs/>
          <w:color w:val="auto"/>
          <w:sz w:val="28"/>
          <w:szCs w:val="28"/>
        </w:rPr>
        <w:t>从提交之日起</w:t>
      </w:r>
      <w:r>
        <w:rPr>
          <w:rFonts w:hint="eastAsia" w:ascii="仿宋" w:hAnsi="仿宋" w:eastAsia="仿宋" w:cs="仿宋"/>
          <w:b/>
          <w:bCs/>
          <w:color w:val="auto"/>
          <w:sz w:val="28"/>
          <w:szCs w:val="28"/>
          <w:lang w:val="en-US" w:eastAsia="zh-CN"/>
        </w:rPr>
        <w:t>,有效期为60</w:t>
      </w:r>
      <w:r>
        <w:rPr>
          <w:rFonts w:hint="eastAsia" w:ascii="仿宋" w:hAnsi="仿宋" w:eastAsia="仿宋" w:cs="仿宋"/>
          <w:b/>
          <w:bCs/>
          <w:color w:val="auto"/>
          <w:sz w:val="28"/>
          <w:szCs w:val="28"/>
        </w:rPr>
        <w:t>天。</w:t>
      </w:r>
    </w:p>
    <w:p w14:paraId="3EAC3C8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41BB020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1.0万元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52691490"/>
      <w:bookmarkStart w:id="35" w:name="_Toc369531533"/>
      <w:bookmarkStart w:id="36" w:name="_Toc361508602"/>
      <w:bookmarkStart w:id="37" w:name="_Toc29025"/>
      <w:bookmarkStart w:id="38" w:name="_Toc384308227"/>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247513970"/>
      <w:bookmarkStart w:id="40" w:name="_Toc247527571"/>
      <w:bookmarkStart w:id="41" w:name="_Toc300834967"/>
      <w:bookmarkStart w:id="42" w:name="_Toc14751"/>
      <w:bookmarkStart w:id="43" w:name="_Toc361508603"/>
      <w:bookmarkStart w:id="44" w:name="_Toc369531534"/>
      <w:bookmarkStart w:id="45" w:name="_Toc152045546"/>
      <w:bookmarkStart w:id="46" w:name="_Toc352691491"/>
      <w:bookmarkStart w:id="47" w:name="_Toc144974514"/>
      <w:bookmarkStart w:id="48" w:name="_Toc384308228"/>
      <w:bookmarkStart w:id="49" w:name="_Toc152042322"/>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152045547"/>
      <w:bookmarkStart w:id="51" w:name="_Toc17952"/>
      <w:bookmarkStart w:id="52" w:name="_Toc384308229"/>
      <w:bookmarkStart w:id="53" w:name="_Toc247527572"/>
      <w:bookmarkStart w:id="54" w:name="_Toc361508604"/>
      <w:bookmarkStart w:id="55" w:name="_Toc352691492"/>
      <w:bookmarkStart w:id="56" w:name="_Toc144974515"/>
      <w:bookmarkStart w:id="57" w:name="_Toc300834968"/>
      <w:bookmarkStart w:id="58" w:name="_Toc152042323"/>
      <w:bookmarkStart w:id="59" w:name="_Toc247513971"/>
      <w:bookmarkStart w:id="60" w:name="_Toc369531535"/>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480" w:lineRule="exact"/>
        <w:ind w:left="0" w:firstLine="280" w:firstLineChars="100"/>
        <w:jc w:val="both"/>
        <w:rPr>
          <w:rFonts w:hint="eastAsia" w:ascii="仿宋" w:hAnsi="仿宋" w:eastAsia="仿宋" w:cs="仿宋"/>
          <w:color w:val="auto"/>
          <w:sz w:val="28"/>
          <w:szCs w:val="28"/>
        </w:rPr>
      </w:pPr>
      <w:bookmarkStart w:id="61" w:name="_Toc24514"/>
      <w:bookmarkStart w:id="62" w:name="_Toc33795794"/>
      <w:bookmarkStart w:id="63" w:name="_Toc21871"/>
      <w:bookmarkStart w:id="64" w:name="_Toc2821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37C3954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从2023年5月至今的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snapToGrid/>
        <w:spacing w:line="480" w:lineRule="exact"/>
        <w:ind w:left="0" w:firstLine="560" w:firstLineChars="2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55CF8B55">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668222A3">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响应文件提交截止时间：2025年11月10日13时（北京时间）；</w:t>
      </w:r>
    </w:p>
    <w:p w14:paraId="2B1C985E">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pacing w:val="1"/>
          <w:sz w:val="28"/>
          <w:szCs w:val="28"/>
          <w:highlight w:val="none"/>
          <w:lang w:val="en-US" w:eastAsia="zh-CN"/>
        </w:rPr>
        <w:t>2.提交方法：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3"/>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3720CFD6">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联系人：张小兵     电话： 0914-2552485</w:t>
      </w:r>
    </w:p>
    <w:p w14:paraId="6D33CA31">
      <w:pPr>
        <w:pStyle w:val="14"/>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3、样品收件人：陕西省商洛市商州区沙河子镇陕西锌业有限公司</w:t>
      </w:r>
      <w:r>
        <w:rPr>
          <w:rFonts w:hint="eastAsia" w:ascii="仿宋" w:hAnsi="仿宋" w:eastAsia="仿宋" w:cs="仿宋"/>
          <w:color w:val="auto"/>
          <w:spacing w:val="1"/>
          <w:kern w:val="0"/>
          <w:sz w:val="28"/>
          <w:szCs w:val="28"/>
          <w:highlight w:val="none"/>
          <w:lang w:val="en-US" w:eastAsia="zh-CN" w:bidi="ar-SA"/>
        </w:rPr>
        <w:t>办公楼一楼招投标办公室   白浩楠收    电话：18329587208</w:t>
      </w:r>
    </w:p>
    <w:p w14:paraId="42934A55">
      <w:pPr>
        <w:pStyle w:val="14"/>
        <w:keepNext w:val="0"/>
        <w:keepLines w:val="0"/>
        <w:pageBreakBefore w:val="0"/>
        <w:shd w:val="clear" w:color="auto" w:fill="auto"/>
        <w:kinsoku/>
        <w:wordWrap/>
        <w:overflowPunct/>
        <w:topLinePunct w:val="0"/>
        <w:autoSpaceDE/>
        <w:autoSpaceDN/>
        <w:bidi w:val="0"/>
        <w:adjustRightInd/>
        <w:snapToGrid/>
        <w:spacing w:before="0" w:after="120" w:line="480"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、响应文件开启时间及地点</w:t>
      </w:r>
    </w:p>
    <w:p w14:paraId="1AB71156">
      <w:pPr>
        <w:keepNext w:val="0"/>
        <w:keepLines w:val="0"/>
        <w:pageBreakBefore w:val="0"/>
        <w:shd w:val="clear" w:color="auto" w:fill="auto"/>
        <w:kinsoku/>
        <w:wordWrap/>
        <w:overflowPunct/>
        <w:topLinePunct w:val="0"/>
        <w:autoSpaceDE/>
        <w:autoSpaceDN/>
        <w:bidi w:val="0"/>
        <w:adjustRightInd/>
        <w:snapToGrid/>
        <w:spacing w:line="480" w:lineRule="exact"/>
        <w:ind w:firstLine="564" w:firstLineChars="200"/>
        <w:textAlignment w:val="auto"/>
        <w:rPr>
          <w:rFonts w:hint="eastAsia" w:ascii="仿宋" w:hAnsi="仿宋" w:eastAsia="仿宋" w:cs="仿宋"/>
          <w:color w:val="auto"/>
          <w:spacing w:val="1"/>
          <w:kern w:val="0"/>
          <w:sz w:val="28"/>
          <w:szCs w:val="28"/>
          <w:highlight w:val="yellow"/>
          <w:lang w:val="en-US" w:eastAsia="zh-CN" w:bidi="ar-SA"/>
        </w:rPr>
      </w:pPr>
      <w:r>
        <w:rPr>
          <w:rFonts w:hint="eastAsia" w:ascii="仿宋" w:hAnsi="仿宋" w:eastAsia="仿宋" w:cs="仿宋"/>
          <w:color w:val="auto"/>
          <w:spacing w:val="1"/>
          <w:kern w:val="0"/>
          <w:sz w:val="28"/>
          <w:szCs w:val="28"/>
          <w:highlight w:val="none"/>
          <w:lang w:val="en-US" w:eastAsia="zh-CN" w:bidi="ar-SA"/>
        </w:rPr>
        <w:t>（一）响应文件的开启时间：</w:t>
      </w:r>
      <w:r>
        <w:rPr>
          <w:rFonts w:hint="eastAsia" w:ascii="仿宋" w:hAnsi="仿宋" w:eastAsia="仿宋" w:cs="仿宋"/>
          <w:color w:val="auto"/>
          <w:spacing w:val="1"/>
          <w:sz w:val="28"/>
          <w:szCs w:val="28"/>
          <w:highlight w:val="none"/>
          <w:lang w:val="en-US" w:eastAsia="zh-CN"/>
        </w:rPr>
        <w:t>2025年11月10日13时</w:t>
      </w:r>
      <w:r>
        <w:rPr>
          <w:rFonts w:hint="eastAsia" w:ascii="仿宋" w:hAnsi="仿宋" w:eastAsia="仿宋" w:cs="仿宋"/>
          <w:color w:val="auto"/>
          <w:spacing w:val="1"/>
          <w:kern w:val="0"/>
          <w:sz w:val="28"/>
          <w:szCs w:val="28"/>
          <w:highlight w:val="none"/>
          <w:lang w:val="en-US" w:eastAsia="zh-CN" w:bidi="ar-SA"/>
        </w:rPr>
        <w:t>；</w:t>
      </w:r>
    </w:p>
    <w:p w14:paraId="05D22B5D">
      <w:pPr>
        <w:keepNext w:val="0"/>
        <w:keepLines w:val="0"/>
        <w:pageBreakBefore w:val="0"/>
        <w:shd w:val="clear" w:color="auto" w:fill="auto"/>
        <w:kinsoku/>
        <w:wordWrap/>
        <w:overflowPunct/>
        <w:topLinePunct w:val="0"/>
        <w:autoSpaceDE/>
        <w:autoSpaceDN/>
        <w:bidi w:val="0"/>
        <w:adjustRightInd/>
        <w:snapToGrid/>
        <w:spacing w:line="480" w:lineRule="exact"/>
        <w:ind w:firstLine="564" w:firstLineChars="200"/>
        <w:textAlignment w:val="auto"/>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pacing w:val="1"/>
          <w:kern w:val="0"/>
          <w:sz w:val="28"/>
          <w:szCs w:val="28"/>
          <w:highlight w:val="none"/>
          <w:lang w:val="en-US" w:eastAsia="zh-CN" w:bidi="ar-SA"/>
        </w:rPr>
        <w:t>（二）响应文件的开启地点：陕西锌业有限公司办公楼一楼招投标办公室（陕西省商洛市商州区沙河子镇）</w:t>
      </w:r>
    </w:p>
    <w:p w14:paraId="2F4B5F07">
      <w:pPr>
        <w:pStyle w:val="2"/>
        <w:pageBreakBefore w:val="0"/>
        <w:widowControl w:val="0"/>
        <w:kinsoku/>
        <w:wordWrap/>
        <w:overflowPunct/>
        <w:topLinePunct w:val="0"/>
        <w:autoSpaceDE/>
        <w:autoSpaceDN/>
        <w:bidi w:val="0"/>
        <w:adjustRightInd/>
        <w:snapToGrid/>
        <w:spacing w:before="0" w:after="0" w:line="48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color w:val="auto"/>
          <w:sz w:val="28"/>
          <w:szCs w:val="28"/>
          <w:lang w:val="en-US" w:eastAsia="zh-CN"/>
        </w:rPr>
        <w:t xml:space="preserve">    （一）响应文件评审办法</w:t>
      </w:r>
    </w:p>
    <w:p w14:paraId="0C5E4239">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本次评</w:t>
      </w:r>
      <w:r>
        <w:rPr>
          <w:rFonts w:hint="eastAsia" w:ascii="仿宋" w:hAnsi="仿宋" w:eastAsia="仿宋" w:cs="仿宋"/>
          <w:color w:val="auto"/>
          <w:sz w:val="28"/>
          <w:szCs w:val="28"/>
          <w:lang w:val="en-US" w:eastAsia="zh-CN"/>
        </w:rPr>
        <w:t>审采用最低价法，是在响应文件满足采购文件实质性要求的前提下，按照供应商经评审的价格由低到高的顺序确定供应商优先次序的评审方法。</w:t>
      </w:r>
    </w:p>
    <w:p w14:paraId="64F3630A">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第一条第九款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719500D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152045603"/>
      <w:bookmarkStart w:id="66" w:name="_Toc247527628"/>
      <w:bookmarkStart w:id="67" w:name="_Toc369531582"/>
      <w:bookmarkStart w:id="68" w:name="_Toc300835013"/>
      <w:bookmarkStart w:id="69" w:name="_Toc352691538"/>
      <w:bookmarkStart w:id="70" w:name="_Toc2907"/>
      <w:bookmarkStart w:id="71" w:name="_Toc144974570"/>
      <w:bookmarkStart w:id="72" w:name="_Toc247514027"/>
      <w:bookmarkStart w:id="73" w:name="_Toc384308277"/>
      <w:bookmarkStart w:id="74" w:name="_Toc152042380"/>
      <w:bookmarkStart w:id="75" w:name="_Toc361508651"/>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33795835"/>
      <w:bookmarkStart w:id="77" w:name="_Toc13563"/>
      <w:bookmarkStart w:id="78" w:name="_Toc29291"/>
      <w:bookmarkStart w:id="79" w:name="_Toc16955"/>
    </w:p>
    <w:p w14:paraId="74649D2E">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rPr>
      </w:pPr>
      <w:bookmarkStart w:id="80" w:name="_Toc33795836"/>
      <w:bookmarkStart w:id="81" w:name="_Toc15253"/>
      <w:bookmarkStart w:id="82" w:name="_Toc32669"/>
      <w:bookmarkStart w:id="83" w:name="_Toc336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2FB4188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价格由</w:t>
      </w:r>
      <w:r>
        <w:rPr>
          <w:rFonts w:hint="eastAsia" w:ascii="仿宋" w:hAnsi="仿宋" w:eastAsia="仿宋" w:cs="仿宋"/>
          <w:color w:val="auto"/>
          <w:sz w:val="28"/>
          <w:szCs w:val="28"/>
        </w:rPr>
        <w:t>低</w:t>
      </w:r>
      <w:r>
        <w:rPr>
          <w:rFonts w:hint="eastAsia" w:ascii="仿宋" w:hAnsi="仿宋" w:eastAsia="仿宋" w:cs="仿宋"/>
          <w:color w:val="auto"/>
          <w:sz w:val="28"/>
          <w:szCs w:val="28"/>
          <w:lang w:val="en-US" w:eastAsia="zh-CN"/>
        </w:rPr>
        <w:t>到高</w:t>
      </w:r>
      <w:r>
        <w:rPr>
          <w:rFonts w:hint="eastAsia" w:ascii="仿宋" w:hAnsi="仿宋" w:eastAsia="仿宋" w:cs="仿宋"/>
          <w:color w:val="auto"/>
          <w:sz w:val="28"/>
          <w:szCs w:val="28"/>
        </w:rPr>
        <w:t>的顺序推荐</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，并标明排序。</w:t>
      </w:r>
    </w:p>
    <w:p w14:paraId="4489F1C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84" w:name="_Toc33795807"/>
      <w:bookmarkStart w:id="85" w:name="_Toc9481"/>
      <w:bookmarkStart w:id="86" w:name="_Toc8518"/>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84"/>
      <w:bookmarkEnd w:id="85"/>
      <w:bookmarkEnd w:id="86"/>
    </w:p>
    <w:p w14:paraId="5DD0CD31">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87" w:name="_Toc30852"/>
      <w:bookmarkStart w:id="88" w:name="_Toc33795808"/>
      <w:bookmarkStart w:id="89" w:name="_Toc21093"/>
      <w:bookmarkStart w:id="90" w:name="_Toc16094"/>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91" w:name="_Toc33795809"/>
      <w:bookmarkStart w:id="92" w:name="_Toc10372"/>
      <w:bookmarkStart w:id="93" w:name="_Toc19079"/>
      <w:bookmarkStart w:id="94" w:name="_Toc701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361508618"/>
      <w:bookmarkStart w:id="96" w:name="_Toc247527586"/>
      <w:bookmarkStart w:id="97" w:name="_Toc30095"/>
      <w:bookmarkStart w:id="98" w:name="_Toc144974529"/>
      <w:bookmarkStart w:id="99" w:name="_Toc352691505"/>
      <w:bookmarkStart w:id="100" w:name="_Toc300834982"/>
      <w:bookmarkStart w:id="101" w:name="_Toc152045561"/>
      <w:bookmarkStart w:id="102" w:name="_Toc247513985"/>
      <w:bookmarkStart w:id="103" w:name="_Toc152042337"/>
      <w:bookmarkStart w:id="104" w:name="_Toc384308243"/>
      <w:bookmarkStart w:id="105" w:name="_Toc369531549"/>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06" w:name="_Toc33795810"/>
      <w:bookmarkStart w:id="107" w:name="_Toc21648"/>
      <w:bookmarkStart w:id="108" w:name="_Toc28756"/>
      <w:bookmarkStart w:id="109" w:name="_Toc2559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val="en-US"/>
        </w:rPr>
      </w:pPr>
      <w:bookmarkStart w:id="110" w:name="_Toc33795811"/>
      <w:bookmarkStart w:id="111" w:name="_Toc2191"/>
      <w:bookmarkStart w:id="112" w:name="_Toc24665"/>
      <w:bookmarkStart w:id="113" w:name="_Toc1947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14" w:name="_Toc6928"/>
      <w:bookmarkStart w:id="115" w:name="_Toc33795812"/>
      <w:bookmarkStart w:id="116" w:name="_Toc10813"/>
      <w:bookmarkStart w:id="117" w:name="_Toc3168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5668"/>
      <w:bookmarkStart w:id="119" w:name="_Toc369531550"/>
      <w:bookmarkStart w:id="120" w:name="_Toc352691506"/>
      <w:bookmarkStart w:id="121" w:name="_Toc300834983"/>
      <w:bookmarkStart w:id="122" w:name="_Toc384308244"/>
      <w:bookmarkStart w:id="123" w:name="_Toc361508619"/>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4" w:name="_Toc4342"/>
      <w:bookmarkStart w:id="125" w:name="_Toc21613"/>
      <w:bookmarkStart w:id="126" w:name="_Toc33795813"/>
      <w:bookmarkStart w:id="127" w:name="_Toc30705"/>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8" w:name="_Toc33795814"/>
      <w:bookmarkStart w:id="129" w:name="_Toc14362"/>
      <w:bookmarkStart w:id="130" w:name="_Toc3671"/>
      <w:bookmarkStart w:id="131" w:name="_Toc1118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5CAEA86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361508622"/>
      <w:bookmarkStart w:id="133" w:name="_Toc144974532"/>
      <w:bookmarkStart w:id="134" w:name="_Toc247527589"/>
      <w:bookmarkStart w:id="135" w:name="_Toc384308247"/>
      <w:bookmarkStart w:id="136" w:name="_Toc300834986"/>
      <w:bookmarkStart w:id="137" w:name="_Toc152045564"/>
      <w:bookmarkStart w:id="138" w:name="_Toc152042340"/>
      <w:bookmarkStart w:id="139" w:name="_Toc4656"/>
      <w:bookmarkStart w:id="140" w:name="_Toc247513988"/>
      <w:bookmarkStart w:id="141" w:name="_Toc369531553"/>
      <w:bookmarkStart w:id="142" w:name="_Toc352691509"/>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361508623"/>
      <w:bookmarkStart w:id="144" w:name="_Toc384308248"/>
      <w:bookmarkStart w:id="145" w:name="_Toc18247"/>
      <w:bookmarkStart w:id="146" w:name="_Toc247527590"/>
      <w:bookmarkStart w:id="147" w:name="_Toc144974533"/>
      <w:bookmarkStart w:id="148" w:name="_Toc300834987"/>
      <w:bookmarkStart w:id="149" w:name="_Toc152042341"/>
      <w:bookmarkStart w:id="150" w:name="_Toc352691510"/>
      <w:bookmarkStart w:id="151" w:name="_Toc152045565"/>
      <w:bookmarkStart w:id="152" w:name="_Toc369531554"/>
      <w:bookmarkStart w:id="153" w:name="_Toc247513989"/>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361508627"/>
      <w:bookmarkStart w:id="155" w:name="_Toc24067"/>
      <w:bookmarkStart w:id="156" w:name="_Toc384308252"/>
      <w:bookmarkStart w:id="157" w:name="_Toc152045568"/>
      <w:bookmarkStart w:id="158" w:name="_Toc300834991"/>
      <w:bookmarkStart w:id="159" w:name="_Toc247527593"/>
      <w:bookmarkStart w:id="160" w:name="_Toc152042344"/>
      <w:bookmarkStart w:id="161" w:name="_Toc247513992"/>
      <w:bookmarkStart w:id="162" w:name="_Toc144974536"/>
    </w:p>
    <w:bookmarkEnd w:id="154"/>
    <w:bookmarkEnd w:id="155"/>
    <w:bookmarkEnd w:id="156"/>
    <w:p w14:paraId="5C60697D">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163" w:name="_Toc33795815"/>
      <w:bookmarkStart w:id="164" w:name="_Toc25347"/>
      <w:bookmarkStart w:id="165" w:name="_Toc14752"/>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352691515"/>
      <w:bookmarkStart w:id="167" w:name="_Toc369531559"/>
      <w:bookmarkStart w:id="168" w:name="_Toc13644"/>
      <w:bookmarkStart w:id="169" w:name="_Toc384308253"/>
      <w:bookmarkStart w:id="170" w:name="_Toc361508628"/>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bookmarkStart w:id="171" w:name="_Toc18070"/>
      <w:bookmarkStart w:id="172" w:name="_Toc33795820"/>
      <w:bookmarkStart w:id="173" w:name="_Toc22294"/>
      <w:bookmarkStart w:id="174" w:name="_Toc24957"/>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034962C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30A9589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7346215F">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14D21383">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4200" w:firstLineChars="1500"/>
        <w:jc w:val="both"/>
        <w:rPr>
          <w:rFonts w:hint="eastAsia" w:ascii="仿宋" w:hAnsi="仿宋" w:eastAsia="仿宋" w:cs="仿宋"/>
          <w:color w:val="auto"/>
          <w:kern w:val="0"/>
          <w:sz w:val="28"/>
          <w:szCs w:val="28"/>
          <w:lang w:val="en-US" w:eastAsia="zh-CN" w:bidi="ar"/>
        </w:rPr>
      </w:pPr>
    </w:p>
    <w:p w14:paraId="33E6147D">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4200" w:firstLineChars="15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4200" w:firstLineChars="15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80" w:lineRule="exact"/>
        <w:ind w:firstLine="4200" w:firstLineChars="1500"/>
        <w:jc w:val="both"/>
        <w:rPr>
          <w:rFonts w:hint="default"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2025年11月05日</w:t>
      </w:r>
    </w:p>
    <w:p w14:paraId="09DD35AC">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640" w:firstLineChars="200"/>
        <w:jc w:val="both"/>
        <w:rPr>
          <w:rFonts w:hint="eastAsia" w:ascii="仿宋" w:hAnsi="仿宋" w:eastAsia="仿宋" w:cs="仿宋"/>
          <w:color w:val="auto"/>
          <w:kern w:val="0"/>
          <w:sz w:val="32"/>
          <w:szCs w:val="32"/>
          <w:lang w:val="en-US" w:eastAsia="zh-CN" w:bidi="ar"/>
        </w:rPr>
      </w:pPr>
    </w:p>
    <w:p w14:paraId="18EC722A">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宋体" w:hAnsi="宋体" w:eastAsia="宋体" w:cs="宋体"/>
          <w:b/>
          <w:bCs/>
          <w:color w:val="auto"/>
          <w:sz w:val="36"/>
          <w:szCs w:val="36"/>
          <w:lang w:val="en-US" w:eastAsia="zh-CN"/>
        </w:rPr>
      </w:pPr>
    </w:p>
    <w:p w14:paraId="5F9B6549">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仿宋" w:hAnsi="仿宋" w:eastAsia="仿宋" w:cs="仿宋"/>
          <w:b/>
          <w:bCs/>
          <w:color w:val="auto"/>
          <w:sz w:val="32"/>
          <w:szCs w:val="32"/>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rPr>
        <w:t>格式</w:t>
      </w:r>
    </w:p>
    <w:p w14:paraId="05CD95BA">
      <w:pPr>
        <w:pageBreakBefore w:val="0"/>
        <w:kinsoku/>
        <w:wordWrap/>
        <w:overflowPunct/>
        <w:topLinePunct w:val="0"/>
        <w:autoSpaceDE/>
        <w:autoSpaceDN/>
        <w:bidi w:val="0"/>
        <w:snapToGrid/>
        <w:spacing w:line="48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bookmarkEnd w:id="210"/>
    <w:p w14:paraId="47667630">
      <w:pPr>
        <w:spacing w:line="400" w:lineRule="exac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highlight w:val="none"/>
        </w:rPr>
        <w:t>项目编号：</w:t>
      </w:r>
      <w:r>
        <w:rPr>
          <w:rFonts w:hint="eastAsia" w:ascii="仿宋" w:hAnsi="仿宋" w:eastAsia="仿宋" w:cs="仿宋"/>
          <w:color w:val="auto"/>
          <w:sz w:val="32"/>
          <w:szCs w:val="32"/>
          <w:highlight w:val="none"/>
          <w:lang w:val="en-US" w:eastAsia="zh-CN"/>
        </w:rPr>
        <w:t>XB20251105-02</w:t>
      </w:r>
    </w:p>
    <w:p w14:paraId="4A0D8476">
      <w:pPr>
        <w:spacing w:line="400" w:lineRule="exact"/>
        <w:rPr>
          <w:rFonts w:hint="eastAsia" w:ascii="仿宋" w:hAnsi="仿宋" w:eastAsia="仿宋" w:cs="仿宋"/>
          <w:color w:val="auto"/>
          <w:sz w:val="32"/>
          <w:szCs w:val="32"/>
        </w:rPr>
      </w:pPr>
    </w:p>
    <w:p w14:paraId="457F6DD8">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A26D0AD">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6"/>
          <w:szCs w:val="36"/>
          <w:lang w:val="en-US" w:eastAsia="zh-CN"/>
        </w:rPr>
      </w:pP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2025年十一月份骨胶、丁胺黑药</w:t>
      </w:r>
      <w:r>
        <w:rPr>
          <w:rStyle w:val="11"/>
          <w:rFonts w:hint="eastAsia" w:ascii="方正粗黑宋简体" w:hAnsi="方正粗黑宋简体" w:eastAsia="方正粗黑宋简体" w:cs="方正粗黑宋简体"/>
          <w:i w:val="0"/>
          <w:iCs w:val="0"/>
          <w:caps w:val="0"/>
          <w:color w:val="000000"/>
          <w:spacing w:val="0"/>
          <w:sz w:val="36"/>
          <w:szCs w:val="36"/>
        </w:rPr>
        <w:t>询比</w:t>
      </w: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采购项目</w:t>
      </w:r>
    </w:p>
    <w:p w14:paraId="2A3F0D45">
      <w:pPr>
        <w:spacing w:line="360" w:lineRule="auto"/>
        <w:jc w:val="center"/>
        <w:rPr>
          <w:rFonts w:hint="eastAsia" w:ascii="黑体" w:hAnsi="黑体" w:eastAsia="黑体" w:cs="黑体"/>
          <w:b/>
          <w:bCs/>
          <w:color w:val="auto"/>
          <w:sz w:val="44"/>
          <w:szCs w:val="44"/>
          <w:lang w:val="en-US" w:eastAsia="zh-CN"/>
        </w:rPr>
      </w:pPr>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504488769"/>
      <w:bookmarkStart w:id="180" w:name="_Toc28734"/>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352691662"/>
      <w:bookmarkStart w:id="182" w:name="_Toc369531698"/>
      <w:bookmarkStart w:id="183"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384308377"/>
      <w:bookmarkStart w:id="185" w:name="_Toc369531699"/>
      <w:bookmarkStart w:id="186" w:name="_Toc144974858"/>
      <w:bookmarkStart w:id="187" w:name="_Toc152045789"/>
      <w:bookmarkStart w:id="188" w:name="_Toc361508754"/>
      <w:bookmarkStart w:id="189" w:name="_Toc247514248"/>
      <w:bookmarkStart w:id="190" w:name="_Toc15573"/>
      <w:bookmarkStart w:id="191" w:name="_Toc300835211"/>
      <w:bookmarkStart w:id="192" w:name="_Toc247527829"/>
      <w:bookmarkStart w:id="193" w:name="_Toc152042578"/>
      <w:bookmarkStart w:id="194" w:name="_Toc352691663"/>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2777"/>
      <w:bookmarkStart w:id="196" w:name="_Toc504488770"/>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504488772"/>
      <w:bookmarkStart w:id="198"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C5C77D5">
      <w:pPr>
        <w:pStyle w:val="2"/>
        <w:pageBreakBefore w:val="0"/>
        <w:numPr>
          <w:ilvl w:val="0"/>
          <w:numId w:val="0"/>
        </w:numPr>
        <w:kinsoku/>
        <w:wordWrap/>
        <w:overflowPunct/>
        <w:topLinePunct w:val="0"/>
        <w:autoSpaceDE/>
        <w:autoSpaceDN/>
        <w:bidi w:val="0"/>
        <w:adjustRightInd/>
        <w:snapToGrid/>
        <w:spacing w:line="320" w:lineRule="exact"/>
        <w:ind w:left="0" w:leftChars="0" w:firstLine="883" w:firstLineChars="200"/>
        <w:jc w:val="left"/>
        <w:rPr>
          <w:rFonts w:hint="eastAsia" w:ascii="Times New Roman" w:hAnsi="Times New Roman" w:eastAsia="宋体" w:cs="Times New Roman"/>
          <w:b/>
          <w:bCs/>
          <w:color w:val="auto"/>
          <w:kern w:val="2"/>
          <w:sz w:val="44"/>
          <w:szCs w:val="44"/>
          <w:lang w:val="en-US" w:eastAsia="zh-CN" w:bidi="ar-SA"/>
        </w:rPr>
      </w:pPr>
      <w:bookmarkStart w:id="200" w:name="_Toc504488775"/>
      <w:bookmarkStart w:id="201" w:name="_Toc1755"/>
    </w:p>
    <w:p w14:paraId="3B4012CF">
      <w:pPr>
        <w:pStyle w:val="2"/>
        <w:pageBreakBefore w:val="0"/>
        <w:numPr>
          <w:ilvl w:val="0"/>
          <w:numId w:val="0"/>
        </w:numPr>
        <w:kinsoku/>
        <w:wordWrap/>
        <w:overflowPunct/>
        <w:topLinePunct w:val="0"/>
        <w:autoSpaceDE/>
        <w:autoSpaceDN/>
        <w:bidi w:val="0"/>
        <w:adjustRightInd/>
        <w:snapToGrid/>
        <w:spacing w:line="320" w:lineRule="exact"/>
        <w:jc w:val="left"/>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五、分项报价表</w:t>
      </w:r>
    </w:p>
    <w:p w14:paraId="44B35B9F">
      <w:pPr>
        <w:keepNext w:val="0"/>
        <w:keepLines w:val="0"/>
        <w:pageBreakBefore w:val="0"/>
        <w:kinsoku/>
        <w:wordWrap/>
        <w:overflowPunct/>
        <w:topLinePunct w:val="0"/>
        <w:autoSpaceDE/>
        <w:autoSpaceDN/>
        <w:bidi w:val="0"/>
        <w:adjustRightInd/>
        <w:snapToGrid/>
        <w:spacing w:line="400" w:lineRule="exact"/>
        <w:rPr>
          <w:rFonts w:hint="eastAsia" w:ascii="仿宋" w:hAnsi="仿宋" w:eastAsia="仿宋" w:cs="仿宋"/>
          <w:b/>
          <w:bCs w:val="0"/>
          <w:color w:val="auto"/>
          <w:sz w:val="28"/>
          <w:szCs w:val="28"/>
          <w:lang w:val="en-US" w:eastAsia="zh-CN"/>
        </w:rPr>
      </w:pPr>
    </w:p>
    <w:p w14:paraId="18CDDC98">
      <w:pPr>
        <w:keepNext w:val="0"/>
        <w:keepLines w:val="0"/>
        <w:pageBreakBefore w:val="0"/>
        <w:kinsoku/>
        <w:wordWrap/>
        <w:overflowPunct/>
        <w:topLinePunct w:val="0"/>
        <w:autoSpaceDE/>
        <w:autoSpaceDN/>
        <w:bidi w:val="0"/>
        <w:adjustRightInd/>
        <w:snapToGrid/>
        <w:spacing w:line="460" w:lineRule="exact"/>
        <w:ind w:firstLine="1446" w:firstLineChars="600"/>
        <w:rPr>
          <w:rFonts w:hint="eastAsia" w:ascii="仿宋" w:hAnsi="仿宋" w:eastAsia="仿宋" w:cs="仿宋"/>
          <w:b w:val="0"/>
          <w:bCs/>
          <w:color w:val="auto"/>
          <w:sz w:val="28"/>
          <w:szCs w:val="28"/>
          <w:lang w:val="en-US" w:eastAsia="zh-CN"/>
        </w:rPr>
      </w:pPr>
      <w:r>
        <w:rPr>
          <w:rFonts w:hint="eastAsia" w:ascii="宋体" w:hAnsi="宋体" w:eastAsia="宋体" w:cs="宋体"/>
          <w:b/>
          <w:bCs w:val="0"/>
          <w:color w:val="auto"/>
          <w:sz w:val="24"/>
          <w:szCs w:val="24"/>
          <w:lang w:val="en-US" w:eastAsia="zh-CN"/>
        </w:rPr>
        <w:t xml:space="preserve">  </w:t>
      </w:r>
      <w:r>
        <w:rPr>
          <w:rFonts w:hint="eastAsia" w:ascii="宋体" w:hAnsi="宋体" w:eastAsia="宋体" w:cs="宋体"/>
          <w:b/>
          <w:bCs w:val="0"/>
          <w:color w:val="auto"/>
          <w:sz w:val="28"/>
          <w:szCs w:val="28"/>
          <w:lang w:val="en-US" w:eastAsia="zh-CN"/>
        </w:rPr>
        <w:t xml:space="preserve">                       </w:t>
      </w:r>
      <w:r>
        <w:rPr>
          <w:rFonts w:hint="eastAsia" w:ascii="仿宋" w:hAnsi="仿宋" w:eastAsia="仿宋" w:cs="仿宋"/>
          <w:b/>
          <w:bCs w:val="0"/>
          <w:color w:val="auto"/>
          <w:sz w:val="28"/>
          <w:szCs w:val="28"/>
          <w:lang w:val="en-US" w:eastAsia="zh-CN"/>
        </w:rPr>
        <w:t xml:space="preserve">     </w:t>
      </w:r>
      <w:r>
        <w:rPr>
          <w:rFonts w:hint="eastAsia" w:ascii="仿宋" w:hAnsi="仿宋" w:eastAsia="仿宋" w:cs="仿宋"/>
          <w:b w:val="0"/>
          <w:bCs/>
          <w:color w:val="auto"/>
          <w:sz w:val="28"/>
          <w:szCs w:val="28"/>
          <w:lang w:val="en-US" w:eastAsia="zh-CN"/>
        </w:rPr>
        <w:t>计量单位：元/吨</w:t>
      </w:r>
    </w:p>
    <w:tbl>
      <w:tblPr>
        <w:tblStyle w:val="9"/>
        <w:tblW w:w="8646" w:type="dxa"/>
        <w:tblInd w:w="-260" w:type="dxa"/>
        <w:tblLayout w:type="fixed"/>
        <w:tblCellMar>
          <w:top w:w="0" w:type="dxa"/>
          <w:left w:w="0" w:type="dxa"/>
          <w:bottom w:w="0" w:type="dxa"/>
          <w:right w:w="0" w:type="dxa"/>
        </w:tblCellMar>
      </w:tblPr>
      <w:tblGrid>
        <w:gridCol w:w="729"/>
        <w:gridCol w:w="1041"/>
        <w:gridCol w:w="2766"/>
        <w:gridCol w:w="1002"/>
        <w:gridCol w:w="1260"/>
        <w:gridCol w:w="1848"/>
      </w:tblGrid>
      <w:tr w14:paraId="205FD423">
        <w:trPr>
          <w:trHeight w:val="1189" w:hRule="atLeast"/>
        </w:trPr>
        <w:tc>
          <w:tcPr>
            <w:tcW w:w="72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4E187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rPr>
            </w:pPr>
            <w:r>
              <w:rPr>
                <w:rFonts w:hint="eastAsia" w:ascii="仿宋" w:hAnsi="仿宋" w:eastAsia="仿宋" w:cs="仿宋"/>
                <w:b w:val="0"/>
                <w:bCs/>
                <w:i w:val="0"/>
                <w:color w:val="000000"/>
                <w:kern w:val="0"/>
                <w:sz w:val="28"/>
                <w:szCs w:val="28"/>
                <w:u w:val="none"/>
                <w:lang w:val="en-US" w:eastAsia="zh-CN" w:bidi="ar"/>
              </w:rPr>
              <w:t>序号</w:t>
            </w:r>
          </w:p>
        </w:tc>
        <w:tc>
          <w:tcPr>
            <w:tcW w:w="104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48ECD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rPr>
            </w:pPr>
            <w:r>
              <w:rPr>
                <w:rFonts w:hint="eastAsia" w:ascii="仿宋" w:hAnsi="仿宋" w:eastAsia="仿宋" w:cs="仿宋"/>
                <w:b w:val="0"/>
                <w:bCs/>
                <w:i w:val="0"/>
                <w:color w:val="000000"/>
                <w:kern w:val="0"/>
                <w:sz w:val="28"/>
                <w:szCs w:val="28"/>
                <w:u w:val="none"/>
                <w:lang w:val="en-US" w:eastAsia="zh-CN" w:bidi="ar"/>
              </w:rPr>
              <w:t>物品   名称</w:t>
            </w:r>
          </w:p>
        </w:tc>
        <w:tc>
          <w:tcPr>
            <w:tcW w:w="276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15A76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rPr>
            </w:pPr>
            <w:r>
              <w:rPr>
                <w:rFonts w:hint="eastAsia" w:ascii="仿宋" w:hAnsi="仿宋" w:eastAsia="仿宋" w:cs="仿宋"/>
                <w:b w:val="0"/>
                <w:bCs/>
                <w:i w:val="0"/>
                <w:color w:val="000000"/>
                <w:kern w:val="0"/>
                <w:sz w:val="28"/>
                <w:szCs w:val="28"/>
                <w:u w:val="none"/>
                <w:lang w:val="en-US" w:eastAsia="zh-CN" w:bidi="ar"/>
              </w:rPr>
              <w:t>规格型号</w:t>
            </w:r>
          </w:p>
        </w:tc>
        <w:tc>
          <w:tcPr>
            <w:tcW w:w="100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F7665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数量</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13AAE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报价</w:t>
            </w:r>
          </w:p>
        </w:tc>
        <w:tc>
          <w:tcPr>
            <w:tcW w:w="184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C4F53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kern w:val="0"/>
                <w:sz w:val="28"/>
                <w:szCs w:val="28"/>
                <w:u w:val="none"/>
                <w:lang w:val="en-US" w:eastAsia="zh-CN" w:bidi="ar"/>
              </w:rPr>
              <w:t>金额</w:t>
            </w:r>
            <w:r>
              <w:rPr>
                <w:rFonts w:hint="eastAsia" w:ascii="仿宋" w:hAnsi="仿宋" w:eastAsia="仿宋" w:cs="仿宋"/>
                <w:b w:val="0"/>
                <w:bCs/>
                <w:i w:val="0"/>
                <w:color w:val="000000"/>
                <w:sz w:val="28"/>
                <w:szCs w:val="28"/>
                <w:u w:val="none"/>
                <w:lang w:val="en-US" w:eastAsia="zh-CN"/>
              </w:rPr>
              <w:t xml:space="preserve">   </w:t>
            </w:r>
          </w:p>
        </w:tc>
      </w:tr>
      <w:tr w14:paraId="4573A27B">
        <w:tblPrEx>
          <w:tblCellMar>
            <w:top w:w="0" w:type="dxa"/>
            <w:left w:w="0" w:type="dxa"/>
            <w:bottom w:w="0" w:type="dxa"/>
            <w:right w:w="0" w:type="dxa"/>
          </w:tblCellMar>
        </w:tblPrEx>
        <w:trPr>
          <w:trHeight w:val="3100" w:hRule="atLeast"/>
        </w:trPr>
        <w:tc>
          <w:tcPr>
            <w:tcW w:w="729"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14:paraId="407A62B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1</w:t>
            </w:r>
          </w:p>
        </w:tc>
        <w:tc>
          <w:tcPr>
            <w:tcW w:w="1041" w:type="dxa"/>
            <w:tcBorders>
              <w:top w:val="single" w:color="auto" w:sz="4" w:space="0"/>
              <w:left w:val="single" w:color="auto" w:sz="4" w:space="0"/>
              <w:right w:val="single" w:color="auto" w:sz="4" w:space="0"/>
            </w:tcBorders>
            <w:shd w:val="clear" w:color="auto" w:fill="FFFFFF"/>
            <w:noWrap w:val="0"/>
            <w:tcMar>
              <w:top w:w="15" w:type="dxa"/>
              <w:left w:w="15" w:type="dxa"/>
              <w:right w:w="15" w:type="dxa"/>
            </w:tcMar>
            <w:vAlign w:val="center"/>
          </w:tcPr>
          <w:p w14:paraId="3F1EB1A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丁胺  黑药</w:t>
            </w:r>
          </w:p>
        </w:tc>
        <w:tc>
          <w:tcPr>
            <w:tcW w:w="2766"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7EA9ADC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val="0"/>
                <w:sz w:val="28"/>
                <w:szCs w:val="28"/>
              </w:rPr>
              <w:t>按YS/T278-2011标准执行，</w:t>
            </w:r>
            <w:r>
              <w:rPr>
                <w:rFonts w:hint="eastAsia" w:ascii="仿宋" w:hAnsi="仿宋" w:eastAsia="仿宋" w:cs="仿宋"/>
                <w:b w:val="0"/>
                <w:bCs w:val="0"/>
                <w:sz w:val="28"/>
                <w:szCs w:val="28"/>
                <w:lang w:val="en-US" w:eastAsia="zh-CN"/>
              </w:rPr>
              <w:t>合格品</w:t>
            </w:r>
            <w:r>
              <w:rPr>
                <w:rFonts w:hint="eastAsia" w:ascii="仿宋" w:hAnsi="仿宋" w:eastAsia="仿宋" w:cs="仿宋"/>
                <w:b w:val="0"/>
                <w:bCs w:val="0"/>
                <w:sz w:val="28"/>
                <w:szCs w:val="28"/>
              </w:rPr>
              <w:t>≥9</w:t>
            </w: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,报价方须了解采购方的工况使用情况，对所供货物质量负责，满足采购方生产需求。</w:t>
            </w:r>
          </w:p>
        </w:tc>
        <w:tc>
          <w:tcPr>
            <w:tcW w:w="100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2406867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20</w:t>
            </w:r>
          </w:p>
        </w:tc>
        <w:tc>
          <w:tcPr>
            <w:tcW w:w="126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6C433D1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c>
          <w:tcPr>
            <w:tcW w:w="184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50959EF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r>
      <w:tr w14:paraId="13BA87D8">
        <w:tblPrEx>
          <w:tblCellMar>
            <w:top w:w="0" w:type="dxa"/>
            <w:left w:w="0" w:type="dxa"/>
            <w:bottom w:w="0" w:type="dxa"/>
            <w:right w:w="0" w:type="dxa"/>
          </w:tblCellMar>
        </w:tblPrEx>
        <w:trPr>
          <w:trHeight w:val="3100" w:hRule="atLeast"/>
        </w:trPr>
        <w:tc>
          <w:tcPr>
            <w:tcW w:w="729"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14:paraId="7AAAF7D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2</w:t>
            </w:r>
          </w:p>
        </w:tc>
        <w:tc>
          <w:tcPr>
            <w:tcW w:w="1041" w:type="dxa"/>
            <w:tcBorders>
              <w:top w:val="single" w:color="auto" w:sz="4" w:space="0"/>
              <w:left w:val="single" w:color="auto" w:sz="4" w:space="0"/>
              <w:right w:val="single" w:color="auto" w:sz="4" w:space="0"/>
            </w:tcBorders>
            <w:shd w:val="clear" w:color="auto" w:fill="FFFFFF"/>
            <w:noWrap w:val="0"/>
            <w:tcMar>
              <w:top w:w="15" w:type="dxa"/>
              <w:left w:w="15" w:type="dxa"/>
              <w:right w:w="15" w:type="dxa"/>
            </w:tcMar>
            <w:vAlign w:val="center"/>
          </w:tcPr>
          <w:p w14:paraId="4F55C2C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骨胶</w:t>
            </w:r>
          </w:p>
        </w:tc>
        <w:tc>
          <w:tcPr>
            <w:tcW w:w="2766"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0A8A6D7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sz w:val="28"/>
                <w:szCs w:val="28"/>
              </w:rPr>
            </w:pPr>
            <w:r>
              <w:rPr>
                <w:rFonts w:hint="eastAsia" w:ascii="仿宋" w:hAnsi="仿宋" w:eastAsia="仿宋" w:cs="仿宋"/>
                <w:b w:val="0"/>
                <w:bCs/>
                <w:sz w:val="28"/>
                <w:szCs w:val="28"/>
                <w:lang w:eastAsia="zh-CN"/>
              </w:rPr>
              <w:t>按</w:t>
            </w:r>
            <w:r>
              <w:rPr>
                <w:rFonts w:hint="eastAsia" w:ascii="仿宋" w:hAnsi="仿宋" w:eastAsia="仿宋" w:cs="仿宋"/>
                <w:b w:val="0"/>
                <w:bCs/>
                <w:sz w:val="28"/>
                <w:szCs w:val="28"/>
                <w:lang w:val="en-US" w:eastAsia="zh-CN"/>
              </w:rPr>
              <w:t>Q</w:t>
            </w:r>
            <w:r>
              <w:rPr>
                <w:rFonts w:hint="eastAsia" w:ascii="仿宋" w:hAnsi="仿宋" w:eastAsia="仿宋" w:cs="仿宋"/>
                <w:b w:val="0"/>
                <w:bCs/>
                <w:color w:val="000000"/>
                <w:kern w:val="0"/>
                <w:sz w:val="28"/>
                <w:szCs w:val="28"/>
              </w:rPr>
              <w:t>B/T1</w:t>
            </w:r>
            <w:r>
              <w:rPr>
                <w:rFonts w:hint="eastAsia" w:ascii="仿宋" w:hAnsi="仿宋" w:eastAsia="仿宋" w:cs="仿宋"/>
                <w:b w:val="0"/>
                <w:bCs/>
                <w:sz w:val="28"/>
                <w:szCs w:val="28"/>
              </w:rPr>
              <w:t>99</w:t>
            </w:r>
            <w:r>
              <w:rPr>
                <w:rFonts w:hint="eastAsia" w:ascii="仿宋" w:hAnsi="仿宋" w:eastAsia="仿宋" w:cs="仿宋"/>
                <w:b w:val="0"/>
                <w:bCs/>
                <w:sz w:val="28"/>
                <w:szCs w:val="28"/>
                <w:lang w:val="en-US" w:eastAsia="zh-CN"/>
              </w:rPr>
              <w:t>6</w:t>
            </w:r>
            <w:r>
              <w:rPr>
                <w:rFonts w:hint="eastAsia" w:ascii="仿宋" w:hAnsi="仿宋" w:eastAsia="仿宋" w:cs="仿宋"/>
                <w:b w:val="0"/>
                <w:bCs/>
                <w:sz w:val="28"/>
                <w:szCs w:val="28"/>
              </w:rPr>
              <w:t>-2005</w:t>
            </w:r>
            <w:r>
              <w:rPr>
                <w:rFonts w:hint="eastAsia" w:ascii="仿宋" w:hAnsi="仿宋" w:eastAsia="仿宋" w:cs="仿宋"/>
                <w:b w:val="0"/>
                <w:bCs/>
                <w:color w:val="000000"/>
                <w:kern w:val="0"/>
                <w:sz w:val="28"/>
                <w:szCs w:val="28"/>
              </w:rPr>
              <w:t>一级品标准执行</w:t>
            </w:r>
            <w:r>
              <w:rPr>
                <w:rFonts w:hint="eastAsia" w:ascii="仿宋" w:hAnsi="仿宋" w:eastAsia="仿宋" w:cs="仿宋"/>
                <w:b w:val="0"/>
                <w:bCs/>
                <w:color w:val="000000"/>
                <w:kern w:val="0"/>
                <w:sz w:val="28"/>
                <w:szCs w:val="28"/>
                <w:lang w:eastAsia="zh-CN"/>
              </w:rPr>
              <w:t>，</w:t>
            </w:r>
            <w:r>
              <w:rPr>
                <w:rFonts w:hint="eastAsia" w:ascii="仿宋" w:hAnsi="仿宋" w:eastAsia="仿宋" w:cs="仿宋"/>
                <w:b w:val="0"/>
                <w:bCs/>
                <w:sz w:val="28"/>
                <w:szCs w:val="28"/>
                <w:lang w:eastAsia="zh-CN"/>
              </w:rPr>
              <w:t>动物胶、黄色透明圆珠颗粒，</w:t>
            </w:r>
            <w:r>
              <w:rPr>
                <w:rFonts w:hint="eastAsia" w:ascii="仿宋" w:hAnsi="仿宋" w:eastAsia="仿宋" w:cs="仿宋"/>
                <w:b w:val="0"/>
                <w:bCs/>
                <w:color w:val="000000"/>
                <w:kern w:val="0"/>
                <w:sz w:val="28"/>
                <w:szCs w:val="28"/>
              </w:rPr>
              <w:t>骨胶</w:t>
            </w:r>
            <w:r>
              <w:rPr>
                <w:rFonts w:hint="eastAsia" w:ascii="仿宋" w:hAnsi="仿宋" w:eastAsia="仿宋" w:cs="仿宋"/>
                <w:b w:val="0"/>
                <w:bCs/>
                <w:sz w:val="28"/>
                <w:szCs w:val="28"/>
              </w:rPr>
              <w:t>粘度≥3.4</w:t>
            </w:r>
            <w:r>
              <w:rPr>
                <w:rFonts w:hint="eastAsia" w:ascii="仿宋" w:hAnsi="仿宋" w:eastAsia="仿宋" w:cs="仿宋"/>
                <w:b w:val="0"/>
                <w:bCs/>
                <w:sz w:val="28"/>
                <w:szCs w:val="28"/>
                <w:lang w:eastAsia="zh-CN"/>
              </w:rPr>
              <w:t>，胶冻强度</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120</w:t>
            </w:r>
          </w:p>
        </w:tc>
        <w:tc>
          <w:tcPr>
            <w:tcW w:w="100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798298D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5</w:t>
            </w:r>
          </w:p>
        </w:tc>
        <w:tc>
          <w:tcPr>
            <w:tcW w:w="126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15B2949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c>
          <w:tcPr>
            <w:tcW w:w="184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0257CEB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r>
      <w:tr w14:paraId="09E01868">
        <w:tblPrEx>
          <w:tblCellMar>
            <w:top w:w="0" w:type="dxa"/>
            <w:left w:w="0" w:type="dxa"/>
            <w:bottom w:w="0" w:type="dxa"/>
            <w:right w:w="0" w:type="dxa"/>
          </w:tblCellMar>
        </w:tblPrEx>
        <w:trPr>
          <w:trHeight w:val="596" w:hRule="atLeast"/>
        </w:trPr>
        <w:tc>
          <w:tcPr>
            <w:tcW w:w="1770" w:type="dxa"/>
            <w:gridSpan w:val="2"/>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right w:w="15" w:type="dxa"/>
            </w:tcMar>
            <w:vAlign w:val="center"/>
          </w:tcPr>
          <w:p w14:paraId="4E70041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r>
              <w:rPr>
                <w:rFonts w:hint="eastAsia" w:ascii="仿宋" w:hAnsi="仿宋" w:eastAsia="仿宋" w:cs="仿宋"/>
                <w:b w:val="0"/>
                <w:bCs/>
                <w:i w:val="0"/>
                <w:color w:val="000000"/>
                <w:sz w:val="28"/>
                <w:szCs w:val="28"/>
                <w:u w:val="none"/>
                <w:lang w:val="en-US" w:eastAsia="zh-CN"/>
              </w:rPr>
              <w:t>合计</w:t>
            </w:r>
          </w:p>
        </w:tc>
        <w:tc>
          <w:tcPr>
            <w:tcW w:w="2766"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7F5DA83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hAnsi="仿宋" w:eastAsia="仿宋" w:cs="仿宋"/>
                <w:b w:val="0"/>
                <w:bCs/>
                <w:sz w:val="28"/>
                <w:szCs w:val="28"/>
                <w:lang w:val="en-US" w:eastAsia="zh-CN"/>
              </w:rPr>
            </w:pPr>
          </w:p>
        </w:tc>
        <w:tc>
          <w:tcPr>
            <w:tcW w:w="100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4F8DB6D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c>
          <w:tcPr>
            <w:tcW w:w="126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792D4CC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c>
          <w:tcPr>
            <w:tcW w:w="184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right w:w="15" w:type="dxa"/>
            </w:tcMar>
            <w:vAlign w:val="center"/>
          </w:tcPr>
          <w:p w14:paraId="7B34568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 w:hAnsi="仿宋" w:eastAsia="仿宋" w:cs="仿宋"/>
                <w:b w:val="0"/>
                <w:bCs/>
                <w:i w:val="0"/>
                <w:color w:val="000000"/>
                <w:sz w:val="28"/>
                <w:szCs w:val="28"/>
                <w:u w:val="none"/>
                <w:lang w:val="en-US" w:eastAsia="zh-CN"/>
              </w:rPr>
            </w:pPr>
          </w:p>
        </w:tc>
      </w:tr>
    </w:tbl>
    <w:p w14:paraId="0ED1875F">
      <w:pPr>
        <w:bidi w:val="0"/>
        <w:ind w:firstLine="1400" w:firstLineChars="500"/>
        <w:jc w:val="left"/>
        <w:rPr>
          <w:rFonts w:hint="eastAsia" w:ascii="仿宋" w:hAnsi="仿宋" w:eastAsia="仿宋" w:cs="仿宋"/>
          <w:color w:val="auto"/>
          <w:kern w:val="0"/>
          <w:sz w:val="28"/>
          <w:szCs w:val="28"/>
          <w:lang w:val="en-US" w:eastAsia="zh-CN"/>
        </w:rPr>
      </w:pPr>
    </w:p>
    <w:p w14:paraId="413685F5">
      <w:pPr>
        <w:bidi w:val="0"/>
        <w:ind w:firstLine="1500" w:firstLineChars="500"/>
        <w:jc w:val="left"/>
        <w:rPr>
          <w:rFonts w:hint="eastAsia" w:ascii="仿宋" w:hAnsi="仿宋" w:eastAsia="仿宋" w:cs="仿宋"/>
          <w:color w:val="auto"/>
          <w:kern w:val="0"/>
          <w:sz w:val="30"/>
          <w:szCs w:val="30"/>
          <w:u w:val="single"/>
          <w:lang w:val="en-US" w:eastAsia="zh-CN"/>
        </w:rPr>
      </w:pPr>
      <w:r>
        <w:rPr>
          <w:rFonts w:hint="eastAsia" w:ascii="仿宋" w:hAnsi="仿宋" w:eastAsia="仿宋" w:cs="仿宋"/>
          <w:color w:val="auto"/>
          <w:kern w:val="0"/>
          <w:sz w:val="30"/>
          <w:szCs w:val="30"/>
          <w:lang w:val="en-US" w:eastAsia="zh-CN"/>
        </w:rPr>
        <w:t xml:space="preserve">报价单位签字盖章： </w:t>
      </w:r>
      <w:r>
        <w:rPr>
          <w:rFonts w:hint="eastAsia" w:ascii="仿宋" w:hAnsi="仿宋" w:eastAsia="仿宋" w:cs="仿宋"/>
          <w:color w:val="auto"/>
          <w:kern w:val="0"/>
          <w:sz w:val="30"/>
          <w:szCs w:val="30"/>
          <w:u w:val="single"/>
          <w:lang w:val="en-US" w:eastAsia="zh-CN"/>
        </w:rPr>
        <w:t xml:space="preserve">                           </w:t>
      </w:r>
    </w:p>
    <w:p w14:paraId="66B7EC20">
      <w:pPr>
        <w:bidi w:val="0"/>
        <w:jc w:val="left"/>
        <w:rPr>
          <w:rFonts w:hint="eastAsia" w:ascii="仿宋" w:hAnsi="仿宋" w:eastAsia="仿宋" w:cs="仿宋"/>
          <w:b w:val="0"/>
          <w:bCs/>
          <w:color w:val="auto"/>
          <w:kern w:val="0"/>
          <w:sz w:val="30"/>
          <w:szCs w:val="30"/>
          <w:u w:val="single"/>
          <w:lang w:val="en-US" w:eastAsia="zh-CN"/>
        </w:rPr>
      </w:pPr>
    </w:p>
    <w:p w14:paraId="0C4F7D97">
      <w:pPr>
        <w:pStyle w:val="2"/>
        <w:pageBreakBefore w:val="0"/>
        <w:kinsoku/>
        <w:wordWrap/>
        <w:overflowPunct/>
        <w:topLinePunct w:val="0"/>
        <w:autoSpaceDE/>
        <w:autoSpaceDN/>
        <w:bidi w:val="0"/>
        <w:adjustRightInd/>
        <w:snapToGrid/>
        <w:spacing w:after="0" w:line="320" w:lineRule="exact"/>
        <w:ind w:firstLine="5100" w:firstLineChars="1700"/>
        <w:jc w:val="both"/>
        <w:rPr>
          <w:rFonts w:ascii="Times New Roman" w:hAnsi="Times New Roman"/>
          <w:color w:val="auto"/>
        </w:rPr>
      </w:pP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年</w:t>
      </w: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月</w:t>
      </w:r>
      <w:r>
        <w:rPr>
          <w:rFonts w:hint="eastAsia" w:ascii="仿宋" w:hAnsi="仿宋" w:eastAsia="仿宋" w:cs="仿宋"/>
          <w:b w:val="0"/>
          <w:bCs/>
          <w:color w:val="auto"/>
          <w:kern w:val="0"/>
          <w:sz w:val="30"/>
          <w:szCs w:val="30"/>
          <w:u w:val="single"/>
          <w:lang w:val="en-US" w:eastAsia="zh-CN"/>
        </w:rPr>
        <w:t xml:space="preserve">    日</w:t>
      </w:r>
      <w:r>
        <w:rPr>
          <w:rFonts w:hint="eastAsia" w:ascii="仿宋" w:hAnsi="仿宋" w:eastAsia="仿宋" w:cs="仿宋"/>
          <w:color w:val="auto"/>
          <w:kern w:val="0"/>
          <w:sz w:val="30"/>
          <w:szCs w:val="3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504488776"/>
      <w:bookmarkStart w:id="203" w:name="_Toc1390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4"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6"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504488778"/>
      <w:bookmarkStart w:id="205"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14234"/>
      <w:bookmarkStart w:id="207" w:name="_Toc504488780"/>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504488783"/>
      <w:bookmarkStart w:id="209" w:name="_Toc22199"/>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633010C">
      <w:pPr>
        <w:jc w:val="center"/>
        <w:rPr>
          <w:color w:val="auto"/>
        </w:rPr>
      </w:pPr>
    </w:p>
    <w:p w14:paraId="1294FB62">
      <w:pPr>
        <w:rPr>
          <w:color w:val="auto"/>
        </w:rPr>
      </w:pPr>
    </w:p>
    <w:p w14:paraId="2147CE8C">
      <w:pPr>
        <w:pStyle w:val="8"/>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5EACE7EB">
      <w:pPr>
        <w:pStyle w:val="8"/>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30EAACD1">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p>
    <w:p w14:paraId="55A58DCE">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p>
    <w:p w14:paraId="6A74097B"/>
    <w:p w14:paraId="3372F9C6"/>
    <w:p w14:paraId="75DF90A6"/>
    <w:p w14:paraId="12EA67CD"/>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A0C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27DBC">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3027DB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780E7">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A817C1"/>
    <w:rsid w:val="01784B4C"/>
    <w:rsid w:val="07E05FA4"/>
    <w:rsid w:val="2AF81CA7"/>
    <w:rsid w:val="2EA817C1"/>
    <w:rsid w:val="409964DC"/>
    <w:rsid w:val="48C9056E"/>
    <w:rsid w:val="674F2002"/>
    <w:rsid w:val="6A100B91"/>
    <w:rsid w:val="6D920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7580</Words>
  <Characters>7815</Characters>
  <Lines>0</Lines>
  <Paragraphs>0</Paragraphs>
  <TotalTime>14</TotalTime>
  <ScaleCrop>false</ScaleCrop>
  <LinksUpToDate>false</LinksUpToDate>
  <CharactersWithSpaces>8342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2025-08-13T02:51:00Z</dcterms:created>
  <dc:creator>瞬间无语</dc:creator>
  <cp:lastModifiedBy>李晶</cp:lastModifiedBy>
  <cp:lastPrinted>2025-11-05T06:05:00Z</cp:lastPrinted>
  <dcterms:modified xsi:type="dcterms:W3CDTF">2025-11-05T07:33:09Z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126F20FFC559442E878718658DB5E4C6_11</vt:lpwstr>
  </property>
  <property fmtid="{D5CDD505-2E9C-101B-9397-08002B2CF9AE}" pid="4" name="KSOTemplateDocerSaveRecord">
    <vt:lpwstr>eyJoZGlkIjoiM2ExNjY5MWQ0OWUzYjcxZjUxYWY0YjAzMjk0YjQ0NDAiLCJ1c2VySWQiOiI2Mjg3MjA1MDUifQ==</vt:lpwstr>
  </property>
</Properties>
</file>