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06745">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XB20251031-01</w:t>
      </w:r>
    </w:p>
    <w:p w14:paraId="5168021C">
      <w:pPr>
        <w:spacing w:line="400" w:lineRule="exact"/>
        <w:rPr>
          <w:rFonts w:ascii="Times New Roman" w:hAnsi="Times New Roman"/>
          <w:color w:val="auto"/>
        </w:rPr>
      </w:pPr>
    </w:p>
    <w:p w14:paraId="1FF25262">
      <w:pPr>
        <w:spacing w:line="400" w:lineRule="exact"/>
        <w:rPr>
          <w:rFonts w:ascii="Times New Roman" w:hAnsi="Times New Roman"/>
          <w:color w:val="auto"/>
        </w:rPr>
      </w:pPr>
    </w:p>
    <w:p w14:paraId="0532BC54">
      <w:pPr>
        <w:outlineLvl w:val="9"/>
        <w:rPr>
          <w:color w:val="auto"/>
        </w:rPr>
      </w:pPr>
    </w:p>
    <w:p w14:paraId="48F43651">
      <w:pPr>
        <w:spacing w:line="400" w:lineRule="exact"/>
        <w:rPr>
          <w:rFonts w:ascii="Times New Roman" w:hAnsi="Times New Roman"/>
          <w:color w:val="auto"/>
        </w:rPr>
      </w:pPr>
    </w:p>
    <w:p w14:paraId="40804D3B">
      <w:pPr>
        <w:spacing w:line="400" w:lineRule="exact"/>
        <w:rPr>
          <w:rFonts w:ascii="Times New Roman" w:hAnsi="Times New Roman"/>
          <w:color w:val="auto"/>
        </w:rPr>
      </w:pPr>
    </w:p>
    <w:p w14:paraId="3F396078">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189ABE3">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聘请专业投资管理咨询机构询</w:t>
      </w:r>
      <w:r>
        <w:rPr>
          <w:rFonts w:hint="eastAsia" w:ascii="Times New Roman" w:hAnsi="Times New Roman" w:eastAsia="黑体"/>
          <w:color w:val="auto"/>
          <w:sz w:val="44"/>
          <w:szCs w:val="44"/>
          <w:highlight w:val="none"/>
          <w:lang w:val="en-US" w:eastAsia="zh-CN"/>
        </w:rPr>
        <w:t>二次</w:t>
      </w:r>
      <w:r>
        <w:rPr>
          <w:rFonts w:hint="eastAsia" w:ascii="Times New Roman" w:hAnsi="Times New Roman" w:eastAsia="黑体"/>
          <w:color w:val="auto"/>
          <w:sz w:val="44"/>
          <w:szCs w:val="44"/>
          <w:highlight w:val="none"/>
          <w:lang w:eastAsia="zh-CN"/>
        </w:rPr>
        <w:t>比采购文件</w:t>
      </w:r>
    </w:p>
    <w:p w14:paraId="3B760B51">
      <w:pPr>
        <w:spacing w:line="400" w:lineRule="exact"/>
        <w:rPr>
          <w:rFonts w:ascii="Times New Roman" w:hAnsi="Times New Roman"/>
          <w:color w:val="auto"/>
        </w:rPr>
      </w:pPr>
    </w:p>
    <w:p w14:paraId="5C3B6ABA">
      <w:pPr>
        <w:spacing w:line="400" w:lineRule="exact"/>
        <w:rPr>
          <w:rFonts w:ascii="Times New Roman" w:hAnsi="Times New Roman"/>
          <w:color w:val="auto"/>
        </w:rPr>
      </w:pPr>
    </w:p>
    <w:p w14:paraId="7686C8FF">
      <w:pPr>
        <w:spacing w:line="400" w:lineRule="exact"/>
        <w:rPr>
          <w:rFonts w:ascii="Times New Roman" w:hAnsi="Times New Roman"/>
          <w:color w:val="auto"/>
        </w:rPr>
      </w:pPr>
    </w:p>
    <w:p w14:paraId="69EB29EF">
      <w:pPr>
        <w:spacing w:line="400" w:lineRule="exact"/>
        <w:rPr>
          <w:rFonts w:ascii="Times New Roman" w:hAnsi="Times New Roman"/>
          <w:color w:val="auto"/>
        </w:rPr>
      </w:pPr>
    </w:p>
    <w:p w14:paraId="672B1A11">
      <w:pPr>
        <w:spacing w:line="400" w:lineRule="exact"/>
        <w:rPr>
          <w:rFonts w:ascii="Times New Roman" w:hAnsi="Times New Roman"/>
          <w:color w:val="auto"/>
        </w:rPr>
      </w:pPr>
    </w:p>
    <w:p w14:paraId="47C672CC">
      <w:pPr>
        <w:spacing w:line="400" w:lineRule="exact"/>
        <w:rPr>
          <w:rFonts w:ascii="Times New Roman" w:hAnsi="Times New Roman"/>
          <w:color w:val="auto"/>
        </w:rPr>
      </w:pPr>
    </w:p>
    <w:p w14:paraId="4C734E17">
      <w:pPr>
        <w:spacing w:line="400" w:lineRule="exact"/>
        <w:rPr>
          <w:rFonts w:ascii="Times New Roman" w:hAnsi="Times New Roman"/>
          <w:color w:val="auto"/>
        </w:rPr>
      </w:pPr>
    </w:p>
    <w:p w14:paraId="3C7CA5F7">
      <w:pPr>
        <w:spacing w:line="400" w:lineRule="exact"/>
        <w:rPr>
          <w:rFonts w:ascii="Times New Roman" w:hAnsi="Times New Roman"/>
          <w:color w:val="auto"/>
        </w:rPr>
      </w:pPr>
    </w:p>
    <w:p w14:paraId="52618E85">
      <w:pPr>
        <w:pStyle w:val="6"/>
        <w:spacing w:before="24" w:after="24"/>
        <w:ind w:firstLine="480"/>
        <w:rPr>
          <w:color w:val="auto"/>
        </w:rPr>
      </w:pPr>
    </w:p>
    <w:p w14:paraId="39B18F4E">
      <w:pPr>
        <w:pStyle w:val="6"/>
        <w:spacing w:before="24" w:after="24"/>
        <w:ind w:firstLine="480"/>
        <w:rPr>
          <w:color w:val="auto"/>
        </w:rPr>
      </w:pPr>
    </w:p>
    <w:p w14:paraId="6C4EFB08">
      <w:pPr>
        <w:pStyle w:val="6"/>
        <w:spacing w:before="24" w:after="24"/>
        <w:ind w:left="0" w:leftChars="0" w:firstLine="0" w:firstLineChars="0"/>
        <w:rPr>
          <w:color w:val="auto"/>
        </w:rPr>
      </w:pPr>
    </w:p>
    <w:p w14:paraId="443A6F83">
      <w:pPr>
        <w:pStyle w:val="6"/>
        <w:spacing w:before="24" w:after="24"/>
        <w:ind w:left="0" w:leftChars="0" w:firstLine="0" w:firstLineChars="0"/>
        <w:rPr>
          <w:color w:val="auto"/>
        </w:rPr>
      </w:pPr>
    </w:p>
    <w:p w14:paraId="1FEB75B7">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B861F00">
      <w:pPr>
        <w:spacing w:line="360" w:lineRule="auto"/>
        <w:ind w:firstLine="5760" w:firstLineChars="1800"/>
        <w:jc w:val="both"/>
        <w:rPr>
          <w:rFonts w:hint="eastAsia" w:ascii="Times New Roman" w:hAnsi="Times New Roman" w:eastAsia="黑体"/>
          <w:color w:val="auto"/>
          <w:sz w:val="32"/>
          <w:szCs w:val="32"/>
        </w:rPr>
      </w:pPr>
    </w:p>
    <w:p w14:paraId="314E275A">
      <w:pPr>
        <w:pStyle w:val="10"/>
        <w:rPr>
          <w:rFonts w:hint="eastAsia"/>
        </w:rPr>
      </w:pPr>
    </w:p>
    <w:p w14:paraId="4CD02118">
      <w:pPr>
        <w:spacing w:line="360" w:lineRule="auto"/>
        <w:jc w:val="both"/>
        <w:rPr>
          <w:rFonts w:hint="eastAsia" w:ascii="Times New Roman" w:hAnsi="Times New Roman" w:eastAsia="黑体"/>
          <w:color w:val="auto"/>
          <w:sz w:val="32"/>
          <w:szCs w:val="32"/>
        </w:rPr>
      </w:pPr>
    </w:p>
    <w:p w14:paraId="2A3B1D1E">
      <w:pPr>
        <w:spacing w:line="360" w:lineRule="auto"/>
        <w:jc w:val="center"/>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w:t>
      </w:r>
      <w:r>
        <w:rPr>
          <w:rFonts w:hint="eastAsia" w:ascii="Times New Roman" w:hAnsi="Times New Roman" w:eastAsia="黑体"/>
          <w:color w:val="auto"/>
          <w:sz w:val="32"/>
          <w:szCs w:val="32"/>
        </w:rPr>
        <w:t>月</w:t>
      </w:r>
      <w:r>
        <w:rPr>
          <w:rFonts w:hint="eastAsia" w:ascii="Times New Roman" w:hAnsi="Times New Roman" w:eastAsia="黑体"/>
          <w:color w:val="auto"/>
          <w:sz w:val="32"/>
          <w:szCs w:val="32"/>
          <w:lang w:val="en-US" w:eastAsia="zh-CN"/>
        </w:rPr>
        <w:t>五日</w:t>
      </w:r>
    </w:p>
    <w:p w14:paraId="264E9D47">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6788C44F">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5BA67F01">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聘请专业投资管理咨询机构</w:t>
      </w:r>
    </w:p>
    <w:p w14:paraId="50A3A630">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val="en-US" w:eastAsia="zh-CN"/>
        </w:rPr>
        <w:t>二次</w:t>
      </w:r>
      <w:r>
        <w:rPr>
          <w:rFonts w:hint="eastAsia" w:ascii="Times New Roman" w:hAnsi="Times New Roman" w:eastAsia="黑体"/>
          <w:color w:val="auto"/>
          <w:sz w:val="44"/>
          <w:szCs w:val="44"/>
          <w:highlight w:val="none"/>
          <w:lang w:eastAsia="zh-CN"/>
        </w:rPr>
        <w:t>询比采购文件</w:t>
      </w:r>
    </w:p>
    <w:p w14:paraId="6719DDC5">
      <w:pPr>
        <w:pStyle w:val="9"/>
        <w:keepNext w:val="0"/>
        <w:keepLines w:val="0"/>
        <w:widowControl/>
        <w:suppressLineNumbers w:val="0"/>
        <w:spacing w:before="0" w:beforeAutospacing="0" w:after="0" w:afterAutospacing="0" w:line="405" w:lineRule="atLeast"/>
        <w:ind w:left="0" w:firstLine="640" w:firstLineChars="200"/>
        <w:jc w:val="left"/>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为了进一步优化公司资本结构，高质高效推进后期有关项目专业化运营，陕西锌业有限公司拟通过询比方式确定聘请专业投资管理咨询公司以先进经验和技术服务单位为资产重组及新项目组建制定方案，欢迎具有相应资质及能力的单位现参与询比采购，具体内容如下;</w:t>
      </w:r>
      <w:bookmarkStart w:id="0" w:name="_Toc20230"/>
      <w:bookmarkStart w:id="1" w:name="_Toc33795775"/>
      <w:bookmarkStart w:id="2" w:name="_Toc4593"/>
      <w:bookmarkStart w:id="3" w:name="_Toc14440"/>
    </w:p>
    <w:bookmarkEnd w:id="0"/>
    <w:bookmarkEnd w:id="1"/>
    <w:bookmarkEnd w:id="2"/>
    <w:bookmarkEnd w:id="3"/>
    <w:p w14:paraId="04E71775">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7" w:firstLineChars="200"/>
        <w:textAlignment w:val="auto"/>
        <w:rPr>
          <w:rFonts w:hint="eastAsia" w:ascii="仿宋" w:hAnsi="仿宋" w:eastAsia="仿宋" w:cs="仿宋"/>
          <w:b/>
          <w:bCs/>
          <w:color w:val="auto"/>
          <w:spacing w:val="1"/>
          <w:sz w:val="32"/>
          <w:szCs w:val="32"/>
          <w:highlight w:val="none"/>
          <w:lang w:val="en-US" w:eastAsia="zh-CN"/>
        </w:rPr>
      </w:pPr>
      <w:r>
        <w:rPr>
          <w:rFonts w:hint="eastAsia" w:ascii="仿宋" w:hAnsi="仿宋" w:eastAsia="仿宋" w:cs="仿宋"/>
          <w:b/>
          <w:bCs/>
          <w:color w:val="auto"/>
          <w:spacing w:val="1"/>
          <w:sz w:val="32"/>
          <w:szCs w:val="32"/>
          <w:lang w:val="en-US" w:eastAsia="zh-CN" w:bidi="ar-SA"/>
        </w:rPr>
        <w:t>一、</w:t>
      </w:r>
      <w:r>
        <w:rPr>
          <w:rFonts w:hint="eastAsia" w:ascii="黑体" w:hAnsi="黑体" w:eastAsia="黑体" w:cs="黑体"/>
          <w:b w:val="0"/>
          <w:bCs w:val="0"/>
          <w:color w:val="auto"/>
          <w:sz w:val="32"/>
          <w:szCs w:val="32"/>
          <w:lang w:val="en-US" w:eastAsia="zh-CN"/>
        </w:rPr>
        <w:t>询比</w:t>
      </w:r>
      <w:r>
        <w:rPr>
          <w:rFonts w:hint="eastAsia" w:ascii="黑体" w:hAnsi="黑体" w:eastAsia="黑体" w:cs="黑体"/>
          <w:b w:val="0"/>
          <w:bCs w:val="0"/>
          <w:color w:val="auto"/>
          <w:sz w:val="32"/>
          <w:szCs w:val="32"/>
          <w:lang w:eastAsia="zh-CN"/>
        </w:rPr>
        <w:t>项目</w:t>
      </w:r>
      <w:r>
        <w:rPr>
          <w:rFonts w:hint="eastAsia" w:ascii="黑体" w:hAnsi="黑体" w:eastAsia="黑体" w:cs="黑体"/>
          <w:b w:val="0"/>
          <w:bCs w:val="0"/>
          <w:color w:val="auto"/>
          <w:sz w:val="32"/>
          <w:szCs w:val="32"/>
        </w:rPr>
        <w:t>概况</w:t>
      </w:r>
    </w:p>
    <w:p w14:paraId="590128FF">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（一）方案目标</w:t>
      </w:r>
    </w:p>
    <w:p w14:paraId="4B55B37B">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1、优化资本结构，盘活低效资产，降低负债率，提高经营效益。根据项目投资设计融资路径，进行预测性财务分析，编制“优化盘活”方案，并与集团公司沟通汇报，确保符合法律法规和国资监管要求。</w:t>
      </w:r>
    </w:p>
    <w:p w14:paraId="7371C8E6">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2、设立项目公司：成立独立法人项目公司，实现业务板块专业化运营，形成"母子公司"管控架构，同步引入战略投资者完善资本结构。</w:t>
      </w:r>
    </w:p>
    <w:p w14:paraId="02D63FF4">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3、资产重整：对冶炼设备、土地使用权等核心资产进行价值设计盘活方式，通过资产置换、股权转让等方式盘活存量资产。</w:t>
      </w:r>
    </w:p>
    <w:p w14:paraId="3B6EC161">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（二）方案内容及要求</w:t>
      </w:r>
    </w:p>
    <w:p w14:paraId="0A9CF9D6">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ab/>
      </w:r>
      <w:r>
        <w:rPr>
          <w:rFonts w:hint="eastAsia" w:ascii="仿宋" w:hAnsi="仿宋" w:eastAsia="仿宋" w:cs="仿宋"/>
          <w:b w:val="0"/>
          <w:bCs/>
          <w:color w:val="auto"/>
          <w:sz w:val="32"/>
          <w:szCs w:val="32"/>
          <w:lang w:val="en-US" w:eastAsia="zh-CN"/>
        </w:rPr>
        <w:t>1、资本结构优化服务</w:t>
      </w:r>
    </w:p>
    <w:p w14:paraId="186CF901">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结合采购人实际经营状况与财务数据，深入分析当前资本结构存在的问题，根据后期项目投资规划，设计科学合理的融资路径。</w:t>
      </w:r>
    </w:p>
    <w:p w14:paraId="4FE61F0D">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开展预测性财务分析，包括但不限于对未来 [3-5] 年的营收、利润、负债等关键财务指标进行预测，评估不同融资方案对财务状况的影响。</w:t>
      </w:r>
    </w:p>
    <w:p w14:paraId="417E1B3D">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编制 “优化盘活” 方案，方案需明确资本结构优化的具体措施、实施步骤、预期效果及风险应对策略，且必须符合国家法律法规及国资监管要求。</w:t>
      </w:r>
    </w:p>
    <w:p w14:paraId="3A4CFC87">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协助采购人与集团公司进行沟通汇报，根据集团公司反馈意见，对方案进行修改完善，确保方案获得集团公司认可。</w:t>
      </w:r>
    </w:p>
    <w:p w14:paraId="6720AA58">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2、项目公司设立服务</w:t>
      </w:r>
    </w:p>
    <w:p w14:paraId="63867FC3">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调研有色金属冶炼行业项目公司设立的先进案例，结合采购人业务板块特点，制定独立法人项目公司的设立方案，明确公司组织架构、股权结构、经营范围、治理机制等内容。</w:t>
      </w:r>
    </w:p>
    <w:p w14:paraId="1200D2DB">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协助采购人完成项目公司设立的前期筹备工作，包括但不限于办理工商注册登记、税务登记等相关手续（如需）。</w:t>
      </w:r>
    </w:p>
    <w:p w14:paraId="0C6B35E8">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制定战略投资者引入方案，明确投资者筛选标准、引入流程、股权定价机制及合作模式，协助采购人开展战略投资者对接工作，推动投资者顺利入股，完善项目公司资本结构。</w:t>
      </w:r>
    </w:p>
    <w:p w14:paraId="42F36CF7">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3、资产重整服务</w:t>
      </w:r>
    </w:p>
    <w:p w14:paraId="63B795E5">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对采购人拥有的冶炼设备、土地使用权等核心资产进行全面梳理，委托具备相应资质的评估机构（可由服务商推荐，需经采购人认可）对资产价值进行评估，确保评估结果真实、公允。</w:t>
      </w:r>
    </w:p>
    <w:p w14:paraId="78758A88">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根据资产评估结果及采购人发展战略，设计资产盘活方式，制定资产重整方案，方案需包含资产置换、股权转让等具体操作路径，明确操作流程、交易对手方筛选标准、交易价格确定方式等内容。</w:t>
      </w:r>
    </w:p>
    <w:p w14:paraId="093ADE71">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协助采购人推进资产重整方案的实施，包括但不限于参与资产交易谈判、起草相关法律文件（如需）、办理资产过户等手续（如需），确保存量资产有效盘活。</w:t>
      </w:r>
    </w:p>
    <w:p w14:paraId="4858ABFE">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（三）选聘标准：</w:t>
      </w:r>
    </w:p>
    <w:p w14:paraId="38463B1C">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1、响应人须为在中华人民共和国境内依法设立并有效存续的独立法人或其他组织，具备有效的营业执照或事业单位法人证书等相关资质证明。响应人须具备有色金属冶炼行业类似项目服务经验，近3年内（自本询比文件发布之日起向前推算）至少拥有1个央企或国企资本结构优化、资产重组或项目公司设立相关服务项目案例（需提供合同关键页复印件等证明材料，包括合同名称、服务内容、服务对象、签订时间、双方签字盖章页等，未提供或提供材料不足以证明的视为无相关案例）。</w:t>
      </w:r>
    </w:p>
    <w:p w14:paraId="4DE55D41">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2、响应人拟投入本项目的服务团队中，至少包含1名注册会计师及1名资产评估师（需提供相关人员的资格证书复印件）。</w:t>
      </w:r>
    </w:p>
    <w:p w14:paraId="15BDE82F">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3、响应人近3年内未被列入失信被执行人名单、重大税收违法失信主体，未受到过行业主管部门或国资监管部门的行政处罚（需提供书面承诺函，格式自拟）。</w:t>
      </w:r>
    </w:p>
    <w:p w14:paraId="0203E2FB">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4、本项目不接受联合体响应，不允许响应人将服务内容进行分包或转包（需提供书面承诺函，格式自拟）。</w:t>
      </w:r>
    </w:p>
    <w:p w14:paraId="5DE0F123">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（四）服务与时间要求</w:t>
      </w:r>
    </w:p>
    <w:p w14:paraId="70B1C744">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 xml:space="preserve"> 1、编制单位需组建专业团队，指定项目负责人，并提供全程技术咨询服务。</w:t>
      </w:r>
    </w:p>
    <w:p w14:paraId="54430796">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2、明确编制方案提交时间节点，包括初稿、评审稿、终稿的交付期限，确保不影响项目整体进度。</w:t>
      </w:r>
    </w:p>
    <w:p w14:paraId="3AE5BD47">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3、承诺在合同期限内，按意见及时修改完善，直至设计方案顺利实施。</w:t>
      </w:r>
    </w:p>
    <w:p w14:paraId="7AB5E698">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4、项目服务期限：自合同签订之日起至所有服务内容完成且方案通过采购方及集团公司审核之日止（具体期限可根据实际情况协商调整）。</w:t>
      </w:r>
    </w:p>
    <w:p w14:paraId="1D5A81B0">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（五）项目预算</w:t>
      </w:r>
    </w:p>
    <w:p w14:paraId="686607C1">
      <w:pPr>
        <w:pStyle w:val="15"/>
        <w:keepNext w:val="0"/>
        <w:keepLines w:val="0"/>
        <w:pageBreakBefore w:val="0"/>
        <w:numPr>
          <w:ilvl w:val="0"/>
          <w:numId w:val="0"/>
        </w:numPr>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1、该项目总价：不超过20万元。</w:t>
      </w:r>
    </w:p>
    <w:p w14:paraId="565A6A5F">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3" w:firstLineChars="200"/>
        <w:textAlignment w:val="auto"/>
        <w:rPr>
          <w:rFonts w:hint="eastAsia" w:ascii="仿宋" w:hAnsi="仿宋" w:eastAsia="仿宋" w:cs="仿宋"/>
          <w:b/>
          <w:bCs/>
          <w:color w:val="auto"/>
          <w:spacing w:val="1"/>
          <w:sz w:val="32"/>
          <w:szCs w:val="32"/>
          <w:highlight w:val="none"/>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pacing w:val="1"/>
          <w:sz w:val="32"/>
          <w:szCs w:val="32"/>
          <w:highlight w:val="none"/>
          <w:lang w:eastAsia="zh-CN"/>
        </w:rPr>
        <w:t>询比采购文件的获取</w:t>
      </w:r>
    </w:p>
    <w:p w14:paraId="6524A5D0">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4" w:firstLineChars="200"/>
        <w:textAlignment w:val="auto"/>
        <w:rPr>
          <w:rFonts w:hint="eastAsia" w:ascii="仿宋" w:hAnsi="仿宋" w:eastAsia="仿宋" w:cs="仿宋"/>
          <w:color w:val="auto"/>
          <w:spacing w:val="1"/>
          <w:sz w:val="32"/>
          <w:szCs w:val="32"/>
          <w:highlight w:val="none"/>
          <w:lang w:val="en-US" w:eastAsia="zh-CN"/>
        </w:rPr>
      </w:pPr>
      <w:r>
        <w:rPr>
          <w:rFonts w:hint="eastAsia" w:ascii="仿宋" w:hAnsi="仿宋" w:eastAsia="仿宋" w:cs="仿宋"/>
          <w:color w:val="auto"/>
          <w:spacing w:val="1"/>
          <w:sz w:val="32"/>
          <w:szCs w:val="32"/>
          <w:highlight w:val="none"/>
          <w:lang w:val="en-US" w:eastAsia="zh-CN"/>
        </w:rPr>
        <w:t>询比采购文件已在陕西锌业有限公司网络询比采购平台（www.sxxyjjpt.com）发布，符合条件的供应商可自行下载采购文件。</w:t>
      </w:r>
    </w:p>
    <w:p w14:paraId="78C02CE7">
      <w:pPr>
        <w:pStyle w:val="4"/>
        <w:kinsoku/>
        <w:wordWrap/>
        <w:overflowPunct/>
        <w:topLinePunct w:val="0"/>
        <w:autoSpaceDE/>
        <w:autoSpaceDN/>
        <w:bidi w:val="0"/>
        <w:snapToGrid/>
        <w:spacing w:before="0" w:after="0" w:line="520" w:lineRule="exact"/>
        <w:ind w:left="0" w:leftChars="0" w:firstLine="643" w:firstLineChars="2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22E2F981">
      <w:pPr>
        <w:rPr>
          <w:rFonts w:hint="default"/>
          <w:lang w:val="en-US"/>
        </w:rPr>
      </w:pPr>
      <w:r>
        <w:rPr>
          <w:rFonts w:hint="eastAsia" w:ascii="仿宋" w:hAnsi="仿宋" w:eastAsia="仿宋" w:cs="仿宋"/>
          <w:b/>
          <w:bCs/>
          <w:color w:val="auto"/>
          <w:sz w:val="32"/>
          <w:szCs w:val="32"/>
          <w:lang w:val="en-US" w:eastAsia="zh-CN"/>
        </w:rPr>
        <w:t xml:space="preserve">   </w:t>
      </w:r>
      <w:r>
        <w:rPr>
          <w:rFonts w:hint="eastAsia" w:ascii="仿宋" w:hAnsi="仿宋" w:eastAsia="仿宋" w:cs="仿宋"/>
          <w:b w:val="0"/>
          <w:bCs w:val="0"/>
          <w:color w:val="auto"/>
          <w:sz w:val="32"/>
          <w:szCs w:val="32"/>
          <w:lang w:val="en-US" w:eastAsia="zh-CN"/>
        </w:rPr>
        <w:t>（一）响应报价</w:t>
      </w:r>
    </w:p>
    <w:p w14:paraId="4AA5AB2D">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响应文件的</w:t>
      </w:r>
      <w:r>
        <w:rPr>
          <w:rFonts w:hint="eastAsia" w:ascii="仿宋" w:hAnsi="仿宋" w:eastAsia="仿宋" w:cs="仿宋"/>
          <w:color w:val="auto"/>
          <w:sz w:val="32"/>
          <w:szCs w:val="32"/>
          <w:lang w:val="en-US" w:eastAsia="zh-CN"/>
        </w:rPr>
        <w:t>开启</w:t>
      </w:r>
      <w:r>
        <w:rPr>
          <w:rFonts w:hint="eastAsia" w:ascii="仿宋" w:hAnsi="仿宋" w:eastAsia="仿宋" w:cs="仿宋"/>
          <w:color w:val="auto"/>
          <w:sz w:val="32"/>
          <w:szCs w:val="32"/>
        </w:rPr>
        <w:t>一览表。</w:t>
      </w:r>
    </w:p>
    <w:p w14:paraId="58697B27">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前修改</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总额</w:t>
      </w:r>
      <w:bookmarkStart w:id="4" w:name="_Toc247513967"/>
      <w:bookmarkStart w:id="5" w:name="_Toc247527568"/>
      <w:bookmarkStart w:id="6" w:name="_Toc361508599"/>
      <w:bookmarkStart w:id="7" w:name="_Toc352691487"/>
      <w:bookmarkStart w:id="8" w:name="_Toc300834964"/>
      <w:bookmarkStart w:id="9" w:name="_Toc144974511"/>
      <w:bookmarkStart w:id="10" w:name="_Toc152045543"/>
      <w:bookmarkStart w:id="11" w:name="_Toc369531530"/>
      <w:bookmarkStart w:id="12" w:name="_Toc15242"/>
      <w:bookmarkStart w:id="13" w:name="_Toc152042319"/>
      <w:bookmarkStart w:id="14" w:name="_Toc384308224"/>
      <w:r>
        <w:rPr>
          <w:rFonts w:hint="eastAsia" w:ascii="仿宋" w:hAnsi="仿宋" w:eastAsia="仿宋" w:cs="仿宋"/>
          <w:color w:val="auto"/>
          <w:sz w:val="32"/>
          <w:szCs w:val="32"/>
        </w:rPr>
        <w:t>。</w:t>
      </w:r>
      <w:bookmarkEnd w:id="4"/>
      <w:bookmarkEnd w:id="5"/>
      <w:bookmarkEnd w:id="6"/>
      <w:bookmarkEnd w:id="7"/>
      <w:bookmarkEnd w:id="8"/>
      <w:bookmarkEnd w:id="9"/>
      <w:bookmarkEnd w:id="10"/>
      <w:bookmarkEnd w:id="11"/>
      <w:bookmarkEnd w:id="12"/>
      <w:bookmarkEnd w:id="13"/>
      <w:bookmarkEnd w:id="14"/>
      <w:r>
        <w:rPr>
          <w:rFonts w:hint="eastAsia" w:ascii="仿宋" w:hAnsi="仿宋" w:eastAsia="仿宋" w:cs="仿宋"/>
          <w:color w:val="auto"/>
          <w:sz w:val="32"/>
          <w:szCs w:val="32"/>
        </w:rPr>
        <w:t>应同时修</w:t>
      </w:r>
      <w:bookmarkStart w:id="15" w:name="_Toc144974510"/>
      <w:bookmarkStart w:id="16" w:name="_Toc247513966"/>
      <w:bookmarkStart w:id="17" w:name="_Toc369531529"/>
      <w:bookmarkStart w:id="18" w:name="_Toc152045542"/>
      <w:bookmarkStart w:id="19" w:name="_Toc384308223"/>
      <w:bookmarkStart w:id="20" w:name="_Toc352691486"/>
      <w:bookmarkStart w:id="21" w:name="_Toc361508598"/>
      <w:bookmarkStart w:id="22" w:name="_Toc25772"/>
      <w:bookmarkStart w:id="23" w:name="_Toc152042318"/>
      <w:bookmarkStart w:id="24" w:name="_Toc300834963"/>
      <w:bookmarkStart w:id="25" w:name="_Toc247527567"/>
      <w:r>
        <w:rPr>
          <w:rFonts w:hint="eastAsia" w:ascii="仿宋" w:hAnsi="仿宋" w:eastAsia="仿宋" w:cs="仿宋"/>
          <w:color w:val="auto"/>
          <w:sz w:val="32"/>
          <w:szCs w:val="32"/>
        </w:rPr>
        <w:t>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一览表”、</w:t>
      </w:r>
      <w:bookmarkEnd w:id="15"/>
      <w:bookmarkEnd w:id="16"/>
      <w:bookmarkEnd w:id="17"/>
      <w:bookmarkEnd w:id="18"/>
      <w:bookmarkEnd w:id="19"/>
      <w:bookmarkEnd w:id="20"/>
      <w:bookmarkEnd w:id="21"/>
      <w:bookmarkEnd w:id="22"/>
      <w:bookmarkEnd w:id="23"/>
      <w:bookmarkEnd w:id="24"/>
      <w:bookmarkEnd w:id="25"/>
      <w:r>
        <w:rPr>
          <w:rFonts w:hint="eastAsia" w:ascii="仿宋" w:hAnsi="仿宋" w:eastAsia="仿宋" w:cs="仿宋"/>
          <w:color w:val="auto"/>
          <w:sz w:val="32"/>
          <w:szCs w:val="32"/>
        </w:rPr>
        <w:t>“分项报价表”中的相应报价。</w:t>
      </w:r>
    </w:p>
    <w:p w14:paraId="0CE761F0">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w:t>
      </w:r>
    </w:p>
    <w:p w14:paraId="30233E76">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成交供应商</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、签订合同及合同执行过程中的依据，不得进行实质性变动。</w:t>
      </w:r>
    </w:p>
    <w:p w14:paraId="07A43BAE">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（二）响应文件要求</w:t>
      </w:r>
    </w:p>
    <w:p w14:paraId="3B276A9B">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营业执照副本复印件</w:t>
      </w:r>
    </w:p>
    <w:p w14:paraId="7A641CF3">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有效的资质证书复印件</w:t>
      </w:r>
    </w:p>
    <w:p w14:paraId="77B3E827">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授权委托书</w:t>
      </w:r>
    </w:p>
    <w:p w14:paraId="5520E539">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授权委托人身份证复印件</w:t>
      </w:r>
    </w:p>
    <w:p w14:paraId="24F284F6">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报价单</w:t>
      </w:r>
    </w:p>
    <w:p w14:paraId="7AC0D838">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报价说明</w:t>
      </w:r>
    </w:p>
    <w:p w14:paraId="58E81CFE">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服务承诺</w:t>
      </w:r>
    </w:p>
    <w:p w14:paraId="10A6489D">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工作业绩</w:t>
      </w:r>
    </w:p>
    <w:p w14:paraId="299FB799">
      <w:pPr>
        <w:kinsoku/>
        <w:wordWrap/>
        <w:overflowPunct/>
        <w:topLinePunct w:val="0"/>
        <w:autoSpaceDE/>
        <w:autoSpaceDN/>
        <w:bidi w:val="0"/>
        <w:snapToGrid/>
        <w:spacing w:line="52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9、报价方认为需要提供的其他文件</w:t>
      </w:r>
    </w:p>
    <w:p w14:paraId="52C41808">
      <w:pPr>
        <w:pStyle w:val="4"/>
        <w:kinsoku/>
        <w:wordWrap/>
        <w:overflowPunct/>
        <w:topLinePunct w:val="0"/>
        <w:autoSpaceDE/>
        <w:autoSpaceDN/>
        <w:bidi w:val="0"/>
        <w:snapToGrid/>
        <w:spacing w:before="0" w:after="0" w:line="52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）响应有效期</w:t>
      </w:r>
    </w:p>
    <w:p w14:paraId="7090AE38">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从提交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截止之日起算</w:t>
      </w:r>
      <w:r>
        <w:rPr>
          <w:rFonts w:hint="eastAsia" w:ascii="仿宋" w:hAnsi="仿宋" w:eastAsia="仿宋" w:cs="仿宋"/>
          <w:color w:val="auto"/>
          <w:sz w:val="32"/>
          <w:szCs w:val="32"/>
          <w:lang w:val="en-US" w:eastAsia="zh-CN"/>
        </w:rPr>
        <w:t>60</w:t>
      </w:r>
      <w:r>
        <w:rPr>
          <w:rFonts w:hint="eastAsia" w:ascii="仿宋" w:hAnsi="仿宋" w:eastAsia="仿宋" w:cs="仿宋"/>
          <w:color w:val="auto"/>
          <w:sz w:val="32"/>
          <w:szCs w:val="32"/>
        </w:rPr>
        <w:t>天。</w:t>
      </w:r>
    </w:p>
    <w:p w14:paraId="730B2D52">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07499412">
      <w:pPr>
        <w:pStyle w:val="4"/>
        <w:kinsoku/>
        <w:wordWrap/>
        <w:overflowPunct/>
        <w:topLinePunct w:val="0"/>
        <w:autoSpaceDE/>
        <w:autoSpaceDN/>
        <w:bidi w:val="0"/>
        <w:snapToGrid/>
        <w:spacing w:before="0" w:after="0" w:line="520" w:lineRule="exact"/>
        <w:ind w:left="0" w:firstLine="320" w:firstLineChars="100"/>
        <w:jc w:val="both"/>
        <w:rPr>
          <w:rFonts w:hint="eastAsia" w:ascii="仿宋" w:hAnsi="仿宋" w:eastAsia="仿宋" w:cs="仿宋"/>
          <w:color w:val="auto"/>
          <w:sz w:val="32"/>
          <w:szCs w:val="32"/>
        </w:rPr>
      </w:pPr>
      <w:bookmarkStart w:id="26" w:name="_Toc24514"/>
      <w:bookmarkStart w:id="27" w:name="_Toc28216"/>
      <w:bookmarkStart w:id="28" w:name="_Toc33795794"/>
      <w:bookmarkStart w:id="29"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26"/>
      <w:bookmarkEnd w:id="27"/>
      <w:bookmarkEnd w:id="28"/>
      <w:bookmarkEnd w:id="29"/>
    </w:p>
    <w:p w14:paraId="12D2928F">
      <w:pPr>
        <w:pStyle w:val="4"/>
        <w:kinsoku/>
        <w:wordWrap/>
        <w:overflowPunct/>
        <w:topLinePunct w:val="0"/>
        <w:autoSpaceDE/>
        <w:autoSpaceDN/>
        <w:bidi w:val="0"/>
        <w:snapToGrid/>
        <w:spacing w:before="0" w:after="0"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提交相关证明材料时还应结合第三章“</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”的相关规定。</w:t>
      </w:r>
    </w:p>
    <w:p w14:paraId="1759AACA">
      <w:pPr>
        <w:kinsoku/>
        <w:wordWrap/>
        <w:overflowPunct/>
        <w:topLinePunct w:val="0"/>
        <w:autoSpaceDE/>
        <w:autoSpaceDN/>
        <w:bidi w:val="0"/>
        <w:snapToGrid/>
        <w:spacing w:line="52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3556767C">
      <w:pPr>
        <w:kinsoku/>
        <w:wordWrap/>
        <w:overflowPunct/>
        <w:topLinePunct w:val="0"/>
        <w:autoSpaceDE/>
        <w:autoSpaceDN/>
        <w:bidi w:val="0"/>
        <w:snapToGrid/>
        <w:spacing w:line="52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从2023年11月至今的</w:t>
      </w:r>
      <w:r>
        <w:rPr>
          <w:rFonts w:hint="eastAsia" w:ascii="仿宋" w:hAnsi="仿宋" w:eastAsia="仿宋" w:cs="仿宋"/>
          <w:color w:val="auto"/>
          <w:sz w:val="32"/>
          <w:szCs w:val="32"/>
        </w:rPr>
        <w:t>合同复印件，每张表格只填写一个项目，并标明序号。</w:t>
      </w:r>
    </w:p>
    <w:p w14:paraId="76EDEBDA">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322" w:firstLineChars="100"/>
        <w:textAlignment w:val="auto"/>
        <w:rPr>
          <w:rFonts w:hint="eastAsia" w:ascii="仿宋" w:hAnsi="仿宋" w:eastAsia="仿宋" w:cs="仿宋"/>
          <w:b w:val="0"/>
          <w:bCs w:val="0"/>
          <w:color w:val="auto"/>
          <w:spacing w:val="1"/>
          <w:sz w:val="32"/>
          <w:szCs w:val="32"/>
          <w:highlight w:val="none"/>
          <w:lang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b w:val="0"/>
          <w:bCs w:val="0"/>
          <w:color w:val="auto"/>
          <w:spacing w:val="1"/>
          <w:sz w:val="32"/>
          <w:szCs w:val="32"/>
          <w:highlight w:val="none"/>
          <w:lang w:val="en-US" w:eastAsia="zh-CN"/>
        </w:rPr>
        <w:t>五</w:t>
      </w:r>
      <w:r>
        <w:rPr>
          <w:rFonts w:hint="eastAsia" w:ascii="仿宋" w:hAnsi="仿宋" w:eastAsia="仿宋" w:cs="仿宋"/>
          <w:b w:val="0"/>
          <w:bCs w:val="0"/>
          <w:color w:val="auto"/>
          <w:spacing w:val="1"/>
          <w:sz w:val="32"/>
          <w:szCs w:val="32"/>
          <w:highlight w:val="none"/>
          <w:lang w:eastAsia="zh-CN"/>
        </w:rPr>
        <w:t>）响应文件的</w:t>
      </w:r>
      <w:r>
        <w:rPr>
          <w:rFonts w:hint="eastAsia" w:ascii="仿宋" w:hAnsi="仿宋" w:eastAsia="仿宋" w:cs="仿宋"/>
          <w:b w:val="0"/>
          <w:bCs w:val="0"/>
          <w:color w:val="auto"/>
          <w:spacing w:val="1"/>
          <w:sz w:val="32"/>
          <w:szCs w:val="32"/>
          <w:highlight w:val="none"/>
          <w:lang w:val="en-US" w:eastAsia="zh-CN"/>
        </w:rPr>
        <w:t>提</w:t>
      </w:r>
      <w:r>
        <w:rPr>
          <w:rFonts w:hint="eastAsia" w:ascii="仿宋" w:hAnsi="仿宋" w:eastAsia="仿宋" w:cs="仿宋"/>
          <w:b w:val="0"/>
          <w:bCs w:val="0"/>
          <w:color w:val="auto"/>
          <w:spacing w:val="1"/>
          <w:sz w:val="32"/>
          <w:szCs w:val="32"/>
          <w:highlight w:val="none"/>
          <w:lang w:eastAsia="zh-CN"/>
        </w:rPr>
        <w:t>交</w:t>
      </w:r>
    </w:p>
    <w:p w14:paraId="4846D655">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4" w:firstLineChars="200"/>
        <w:textAlignment w:val="auto"/>
        <w:rPr>
          <w:rFonts w:hint="eastAsia" w:ascii="仿宋" w:hAnsi="仿宋" w:eastAsia="仿宋" w:cs="仿宋"/>
          <w:color w:val="auto"/>
          <w:spacing w:val="1"/>
          <w:sz w:val="32"/>
          <w:szCs w:val="32"/>
          <w:highlight w:val="none"/>
          <w:lang w:val="en-US" w:eastAsia="zh-CN"/>
        </w:rPr>
      </w:pPr>
      <w:r>
        <w:rPr>
          <w:rFonts w:hint="eastAsia" w:ascii="仿宋" w:hAnsi="仿宋" w:eastAsia="仿宋" w:cs="仿宋"/>
          <w:color w:val="auto"/>
          <w:spacing w:val="1"/>
          <w:sz w:val="32"/>
          <w:szCs w:val="32"/>
          <w:highlight w:val="none"/>
          <w:lang w:val="en-US" w:eastAsia="zh-CN"/>
        </w:rPr>
        <w:t>1. 响应文件提交截止时间：2025年11月7日12时；</w:t>
      </w:r>
    </w:p>
    <w:p w14:paraId="035E0ED0">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4"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pacing w:val="1"/>
          <w:sz w:val="32"/>
          <w:szCs w:val="32"/>
          <w:highlight w:val="none"/>
          <w:lang w:val="en-US" w:eastAsia="zh-CN"/>
        </w:rPr>
        <w:t>2.提交方法：</w:t>
      </w:r>
      <w:r>
        <w:rPr>
          <w:rFonts w:hint="eastAsia" w:ascii="仿宋" w:hAnsi="仿宋" w:eastAsia="仿宋" w:cs="仿宋"/>
          <w:color w:val="auto"/>
          <w:sz w:val="32"/>
          <w:szCs w:val="32"/>
          <w:lang w:val="en-US" w:eastAsia="zh-CN"/>
        </w:rPr>
        <w:t>将响应文件一式两份一正一副密封后直接送达或邮寄至陕西锌业有限公司一楼招投标办公室。</w:t>
      </w:r>
    </w:p>
    <w:p w14:paraId="017705DE">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业务联系人：王奇    电话：18992496080</w:t>
      </w:r>
    </w:p>
    <w:p w14:paraId="670722E5">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收标联系人：白浩楠  电话：18329587208</w:t>
      </w:r>
    </w:p>
    <w:p w14:paraId="2C9947F2">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邮寄地址：商洛市商州区沙河子镇陕西锌业有限公司一楼招投标办公室。</w:t>
      </w:r>
    </w:p>
    <w:p w14:paraId="525D1F3C">
      <w:pPr>
        <w:pStyle w:val="15"/>
        <w:keepNext w:val="0"/>
        <w:keepLines w:val="0"/>
        <w:pageBreakBefore w:val="0"/>
        <w:shd w:val="clear" w:color="auto" w:fill="auto"/>
        <w:kinsoku/>
        <w:wordWrap/>
        <w:overflowPunct/>
        <w:topLinePunct w:val="0"/>
        <w:autoSpaceDE/>
        <w:autoSpaceDN/>
        <w:bidi w:val="0"/>
        <w:adjustRightInd/>
        <w:snapToGrid/>
        <w:spacing w:beforeLines="50" w:after="120" w:afterLines="50" w:line="52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邮编：726007      </w:t>
      </w:r>
    </w:p>
    <w:p w14:paraId="6C197D99">
      <w:pPr>
        <w:pStyle w:val="15"/>
        <w:keepNext w:val="0"/>
        <w:keepLines w:val="0"/>
        <w:pageBreakBefore w:val="0"/>
        <w:shd w:val="clear" w:color="auto" w:fill="auto"/>
        <w:kinsoku/>
        <w:wordWrap/>
        <w:overflowPunct/>
        <w:topLinePunct w:val="0"/>
        <w:autoSpaceDE/>
        <w:autoSpaceDN/>
        <w:bidi w:val="0"/>
        <w:adjustRightInd/>
        <w:snapToGrid/>
        <w:spacing w:before="0" w:after="120" w:line="520" w:lineRule="exact"/>
        <w:ind w:firstLine="647" w:firstLineChars="200"/>
        <w:textAlignment w:val="auto"/>
        <w:rPr>
          <w:rFonts w:hint="eastAsia" w:ascii="仿宋" w:hAnsi="仿宋" w:eastAsia="仿宋" w:cs="仿宋"/>
          <w:b/>
          <w:bCs/>
          <w:color w:val="auto"/>
          <w:spacing w:val="1"/>
          <w:sz w:val="32"/>
          <w:szCs w:val="32"/>
          <w:highlight w:val="none"/>
          <w:lang w:eastAsia="zh-CN"/>
        </w:rPr>
      </w:pPr>
      <w:r>
        <w:rPr>
          <w:rFonts w:hint="eastAsia" w:ascii="仿宋" w:hAnsi="仿宋" w:eastAsia="仿宋" w:cs="仿宋"/>
          <w:b/>
          <w:bCs/>
          <w:color w:val="auto"/>
          <w:spacing w:val="1"/>
          <w:sz w:val="32"/>
          <w:szCs w:val="32"/>
          <w:highlight w:val="none"/>
          <w:lang w:val="en-US" w:eastAsia="zh-CN"/>
        </w:rPr>
        <w:t>四</w:t>
      </w:r>
      <w:r>
        <w:rPr>
          <w:rFonts w:hint="eastAsia" w:ascii="仿宋" w:hAnsi="仿宋" w:eastAsia="仿宋" w:cs="仿宋"/>
          <w:b/>
          <w:bCs/>
          <w:color w:val="auto"/>
          <w:spacing w:val="1"/>
          <w:sz w:val="32"/>
          <w:szCs w:val="32"/>
          <w:highlight w:val="none"/>
          <w:lang w:eastAsia="zh-CN"/>
        </w:rPr>
        <w:t>、响应文件开启时间及地点</w:t>
      </w:r>
    </w:p>
    <w:p w14:paraId="4FF81EE1">
      <w:pPr>
        <w:keepNext w:val="0"/>
        <w:keepLines w:val="0"/>
        <w:pageBreakBefore w:val="0"/>
        <w:shd w:val="clear" w:color="auto" w:fill="auto"/>
        <w:kinsoku/>
        <w:wordWrap/>
        <w:overflowPunct/>
        <w:topLinePunct w:val="0"/>
        <w:autoSpaceDE/>
        <w:autoSpaceDN/>
        <w:bidi w:val="0"/>
        <w:adjustRightInd/>
        <w:snapToGrid/>
        <w:spacing w:line="520" w:lineRule="exact"/>
        <w:ind w:firstLine="644" w:firstLineChars="200"/>
        <w:textAlignment w:val="auto"/>
        <w:rPr>
          <w:rFonts w:hint="eastAsia" w:ascii="仿宋" w:hAnsi="仿宋" w:eastAsia="仿宋" w:cs="仿宋"/>
          <w:color w:val="auto"/>
          <w:spacing w:val="1"/>
          <w:kern w:val="0"/>
          <w:sz w:val="32"/>
          <w:szCs w:val="32"/>
          <w:highlight w:val="yellow"/>
          <w:lang w:val="en-US" w:eastAsia="zh-CN" w:bidi="ar-SA"/>
        </w:rPr>
      </w:pPr>
      <w:r>
        <w:rPr>
          <w:rFonts w:hint="eastAsia" w:ascii="仿宋" w:hAnsi="仿宋" w:eastAsia="仿宋" w:cs="仿宋"/>
          <w:color w:val="auto"/>
          <w:spacing w:val="1"/>
          <w:kern w:val="0"/>
          <w:sz w:val="32"/>
          <w:szCs w:val="32"/>
          <w:highlight w:val="none"/>
          <w:lang w:val="en-US" w:eastAsia="zh-CN" w:bidi="ar-SA"/>
        </w:rPr>
        <w:t>（一）响应文件的开启时间：2025</w:t>
      </w:r>
      <w:r>
        <w:rPr>
          <w:rFonts w:hint="eastAsia" w:ascii="仿宋" w:hAnsi="仿宋" w:eastAsia="仿宋" w:cs="仿宋"/>
          <w:color w:val="auto"/>
          <w:spacing w:val="1"/>
          <w:sz w:val="32"/>
          <w:szCs w:val="32"/>
          <w:highlight w:val="none"/>
          <w:lang w:val="en-US" w:eastAsia="zh-CN"/>
        </w:rPr>
        <w:t>年11月7日</w:t>
      </w:r>
      <w:r>
        <w:rPr>
          <w:rFonts w:hint="eastAsia" w:ascii="仿宋" w:hAnsi="仿宋" w:eastAsia="仿宋" w:cs="仿宋"/>
          <w:color w:val="auto"/>
          <w:spacing w:val="1"/>
          <w:kern w:val="0"/>
          <w:sz w:val="32"/>
          <w:szCs w:val="32"/>
          <w:highlight w:val="none"/>
          <w:lang w:val="en-US" w:eastAsia="zh-CN" w:bidi="ar-SA"/>
        </w:rPr>
        <w:t>；</w:t>
      </w:r>
    </w:p>
    <w:p w14:paraId="445FA2AE">
      <w:pPr>
        <w:keepNext w:val="0"/>
        <w:keepLines w:val="0"/>
        <w:pageBreakBefore w:val="0"/>
        <w:shd w:val="clear" w:color="auto" w:fill="auto"/>
        <w:kinsoku/>
        <w:wordWrap/>
        <w:overflowPunct/>
        <w:topLinePunct w:val="0"/>
        <w:autoSpaceDE/>
        <w:autoSpaceDN/>
        <w:bidi w:val="0"/>
        <w:adjustRightInd/>
        <w:snapToGrid/>
        <w:spacing w:line="520" w:lineRule="exact"/>
        <w:ind w:firstLine="644" w:firstLineChars="200"/>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（二）响应文件的开启地点：陕西锌业有限公司办公楼一楼招投标办公室（陕西省商洛市商州区沙河子镇）</w:t>
      </w:r>
    </w:p>
    <w:p w14:paraId="41A2854D">
      <w:pPr>
        <w:pStyle w:val="3"/>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hint="eastAsia" w:ascii="仿宋" w:hAnsi="仿宋" w:eastAsia="仿宋" w:cs="仿宋"/>
          <w:color w:val="auto"/>
          <w:sz w:val="32"/>
          <w:szCs w:val="32"/>
          <w:lang w:val="en-US" w:eastAsia="zh-CN"/>
        </w:rPr>
      </w:pPr>
      <w:r>
        <w:rPr>
          <w:rStyle w:val="13"/>
          <w:rFonts w:hint="eastAsia" w:ascii="仿宋" w:hAnsi="仿宋" w:eastAsia="仿宋" w:cs="仿宋"/>
          <w:b/>
          <w:i w:val="0"/>
          <w:iCs w:val="0"/>
          <w:caps w:val="0"/>
          <w:color w:val="000000"/>
          <w:spacing w:val="0"/>
          <w:sz w:val="32"/>
          <w:szCs w:val="32"/>
          <w:lang w:val="en-US" w:eastAsia="zh-CN"/>
        </w:rPr>
        <w:t>五</w:t>
      </w:r>
      <w:r>
        <w:rPr>
          <w:rStyle w:val="13"/>
          <w:rFonts w:hint="eastAsia" w:ascii="仿宋" w:hAnsi="仿宋" w:eastAsia="仿宋" w:cs="仿宋"/>
          <w:b/>
          <w:i w:val="0"/>
          <w:iCs w:val="0"/>
          <w:caps w:val="0"/>
          <w:color w:val="000000"/>
          <w:spacing w:val="0"/>
          <w:sz w:val="32"/>
          <w:szCs w:val="32"/>
        </w:rPr>
        <w:t>、</w:t>
      </w:r>
      <w:r>
        <w:rPr>
          <w:rStyle w:val="13"/>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bookmarkStart w:id="30" w:name="OLE_LINK1"/>
    </w:p>
    <w:p w14:paraId="12F83017">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beforeAutospacing="0" w:afterAutospacing="0" w:line="500" w:lineRule="exact"/>
        <w:ind w:left="0" w:leftChars="0"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kern w:val="2"/>
          <w:sz w:val="32"/>
          <w:szCs w:val="32"/>
          <w:lang w:val="en-US" w:eastAsia="zh-CN" w:bidi="ar-SA"/>
        </w:rPr>
        <w:t>（一）</w:t>
      </w:r>
      <w:r>
        <w:rPr>
          <w:rFonts w:hint="eastAsia" w:ascii="仿宋" w:hAnsi="仿宋" w:eastAsia="仿宋" w:cs="仿宋"/>
          <w:color w:val="auto"/>
          <w:sz w:val="32"/>
          <w:szCs w:val="32"/>
          <w:lang w:val="en-US" w:eastAsia="zh-CN"/>
        </w:rPr>
        <w:t>评审标准</w:t>
      </w:r>
    </w:p>
    <w:p w14:paraId="494096C7">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1.综合评分法。是在响应文件满足采购文件实质性要求的前提下，评审小组对通过初步评审的供应商的响应文件进行详细评审后，根据响应服务机构综合得分从高到低推荐3名成交候选人。</w:t>
      </w:r>
    </w:p>
    <w:p w14:paraId="73464525">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both"/>
        <w:rPr>
          <w:rFonts w:hint="eastAsia" w:ascii="仿宋" w:hAnsi="仿宋" w:eastAsia="仿宋" w:cs="仿宋"/>
          <w:color w:val="auto"/>
          <w:sz w:val="32"/>
          <w:szCs w:val="32"/>
          <w:lang w:val="en-US" w:eastAsia="zh-CN"/>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543"/>
        <w:gridCol w:w="2977"/>
      </w:tblGrid>
      <w:tr w14:paraId="26408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DD95B8">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评分指标</w:t>
            </w:r>
          </w:p>
        </w:tc>
        <w:tc>
          <w:tcPr>
            <w:tcW w:w="25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00D02AE">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分值</w:t>
            </w:r>
          </w:p>
        </w:tc>
        <w:tc>
          <w:tcPr>
            <w:tcW w:w="29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C4FD9E">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评分标准</w:t>
            </w:r>
          </w:p>
        </w:tc>
      </w:tr>
      <w:tr w14:paraId="60242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3" w:hRule="atLeast"/>
        </w:trPr>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705FDC">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服务方案</w:t>
            </w:r>
          </w:p>
        </w:tc>
        <w:tc>
          <w:tcPr>
            <w:tcW w:w="25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EFDBFDA">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 分</w:t>
            </w:r>
          </w:p>
        </w:tc>
        <w:tc>
          <w:tcPr>
            <w:tcW w:w="29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A0322D">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服务方案对项目理解深刻（4分）、思路清晰（4分）、实施计划详细可行（4分）、时间安排合理（4分）、质量保障措施完善的（4分）酌情打分</w:t>
            </w:r>
          </w:p>
        </w:tc>
      </w:tr>
      <w:tr w14:paraId="5A958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24" w:hRule="atLeast"/>
        </w:trPr>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2D6369">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类似项目经验</w:t>
            </w:r>
          </w:p>
        </w:tc>
        <w:tc>
          <w:tcPr>
            <w:tcW w:w="25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190DC3B">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15分</w:t>
            </w:r>
          </w:p>
        </w:tc>
        <w:tc>
          <w:tcPr>
            <w:tcW w:w="29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79BCBC">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近 3 年拥有符合要求的央企 / 国企项目案例，一份业绩得 5 分；满分15分。无相关案例的，得 0 分。</w:t>
            </w:r>
          </w:p>
        </w:tc>
      </w:tr>
      <w:tr w14:paraId="36A7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FE578C">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服务团队实力</w:t>
            </w:r>
          </w:p>
        </w:tc>
        <w:tc>
          <w:tcPr>
            <w:tcW w:w="25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963FAB">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15 分</w:t>
            </w:r>
          </w:p>
        </w:tc>
        <w:tc>
          <w:tcPr>
            <w:tcW w:w="29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FB0C81">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服务团队人员数量充足、资质齐全（注册会计师、资产评估师数量满足要求且有其他相关专业资质人员）、从业经验丰富的，得 12-15 分；服务团队基本满足资质要求，但人员从业经验一般的，得 8-12 分；服务团队无法满足资质要求或人员配置不足的，得 0-8分。</w:t>
            </w:r>
          </w:p>
        </w:tc>
      </w:tr>
      <w:tr w14:paraId="1C170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CF8209">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服务报价</w:t>
            </w:r>
          </w:p>
        </w:tc>
        <w:tc>
          <w:tcPr>
            <w:tcW w:w="254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DB8CAB">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50 分</w:t>
            </w:r>
          </w:p>
        </w:tc>
        <w:tc>
          <w:tcPr>
            <w:tcW w:w="2977"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F8DABE">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以平均报价为基准价（得分40分），高于基准价的，每高10个百分点扣1分；低于基准价的，每低10个百分点扣0.5分。评标赋分采用插入法计算，扣完为止。</w:t>
            </w:r>
          </w:p>
        </w:tc>
      </w:tr>
    </w:tbl>
    <w:p w14:paraId="6B914D9C">
      <w:pPr>
        <w:pStyle w:val="9"/>
        <w:keepNext w:val="0"/>
        <w:keepLines w:val="0"/>
        <w:pageBreakBefore w:val="0"/>
        <w:widowControl w:val="0"/>
        <w:suppressLineNumbers w:val="0"/>
        <w:kinsoku w:val="0"/>
        <w:wordWrap/>
        <w:overflowPunct/>
        <w:topLinePunct w:val="0"/>
        <w:autoSpaceDE w:val="0"/>
        <w:autoSpaceDN w:val="0"/>
        <w:bidi w:val="0"/>
        <w:adjustRightInd w:val="0"/>
        <w:snapToGrid w:val="0"/>
        <w:spacing w:before="0" w:beforeAutospacing="0" w:after="0" w:afterAutospacing="0" w:line="500" w:lineRule="exact"/>
        <w:ind w:leftChars="0" w:firstLine="640" w:firstLineChars="200"/>
        <w:jc w:val="both"/>
        <w:rPr>
          <w:rFonts w:hint="default" w:ascii="仿宋" w:hAnsi="仿宋" w:eastAsia="仿宋" w:cs="仿宋"/>
          <w:color w:val="auto"/>
          <w:sz w:val="32"/>
          <w:szCs w:val="32"/>
          <w:lang w:val="en-US" w:eastAsia="zh-CN"/>
        </w:rPr>
      </w:pPr>
    </w:p>
    <w:bookmarkEnd w:id="30"/>
    <w:p w14:paraId="2BB9453D">
      <w:pPr>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75F2EE">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对响应供应商</w:t>
      </w:r>
      <w:r>
        <w:rPr>
          <w:rFonts w:hint="eastAsia" w:ascii="仿宋" w:hAnsi="仿宋" w:eastAsia="仿宋" w:cs="仿宋"/>
          <w:color w:val="auto"/>
          <w:sz w:val="32"/>
          <w:szCs w:val="32"/>
        </w:rPr>
        <w:t>提交的</w:t>
      </w:r>
      <w:r>
        <w:rPr>
          <w:rFonts w:hint="eastAsia" w:ascii="仿宋" w:hAnsi="仿宋" w:eastAsia="仿宋" w:cs="仿宋"/>
          <w:color w:val="auto"/>
          <w:sz w:val="32"/>
          <w:szCs w:val="32"/>
          <w:lang w:val="en-US" w:eastAsia="zh-CN"/>
        </w:rPr>
        <w:t>资质</w:t>
      </w:r>
      <w:r>
        <w:rPr>
          <w:rFonts w:hint="eastAsia" w:ascii="仿宋" w:hAnsi="仿宋" w:eastAsia="仿宋" w:cs="仿宋"/>
          <w:color w:val="auto"/>
          <w:sz w:val="32"/>
          <w:szCs w:val="32"/>
        </w:rPr>
        <w:t>有关</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证明</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进行初步评审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不符合评审标准的</w:t>
      </w:r>
      <w:r>
        <w:rPr>
          <w:rFonts w:hint="eastAsia" w:ascii="仿宋" w:hAnsi="仿宋" w:eastAsia="仿宋" w:cs="仿宋"/>
          <w:color w:val="auto"/>
          <w:sz w:val="32"/>
          <w:szCs w:val="32"/>
          <w:lang w:val="en-US" w:eastAsia="zh-CN"/>
        </w:rPr>
        <w:t>应</w:t>
      </w:r>
      <w:r>
        <w:rPr>
          <w:rFonts w:hint="eastAsia" w:ascii="仿宋" w:hAnsi="仿宋" w:eastAsia="仿宋" w:cs="仿宋"/>
          <w:color w:val="auto"/>
          <w:sz w:val="32"/>
          <w:szCs w:val="32"/>
        </w:rPr>
        <w:t>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1A95BE6B">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2.响应供应商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0F15117">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4031B261">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单位盖章和单位负责人签字或盖章的；</w:t>
      </w:r>
    </w:p>
    <w:p w14:paraId="572CC817">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6A491AC4">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54E8994B">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DC6DED7">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320" w:firstLineChars="1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响应供应资质不全且没有提供有效业绩的。</w:t>
      </w:r>
    </w:p>
    <w:p w14:paraId="1F8F0BCE">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64E30911">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）评审结果</w:t>
      </w:r>
    </w:p>
    <w:p w14:paraId="151D7F2F">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1.根据响应服务机构综合得分从高到低推荐3名成交候选人</w:t>
      </w:r>
      <w:r>
        <w:rPr>
          <w:rFonts w:hint="eastAsia" w:ascii="仿宋" w:hAnsi="仿宋" w:eastAsia="仿宋" w:cs="仿宋"/>
          <w:color w:val="auto"/>
          <w:sz w:val="32"/>
          <w:szCs w:val="32"/>
        </w:rPr>
        <w:t>并标明排序。</w:t>
      </w:r>
    </w:p>
    <w:p w14:paraId="15A85CCD">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后，向</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58D7AE8E">
      <w:pPr>
        <w:pStyle w:val="3"/>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643"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p>
    <w:p w14:paraId="7D4013F1">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p>
    <w:p w14:paraId="679B136F">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7269E99">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p>
    <w:p w14:paraId="50BAA95F">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或者其他利害关系人对</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4F8D8A2E">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rPr>
          <w:rFonts w:hint="eastAsia" w:ascii="仿宋" w:hAnsi="仿宋" w:eastAsia="仿宋" w:cs="仿宋"/>
          <w:color w:val="auto"/>
          <w:sz w:val="32"/>
          <w:szCs w:val="32"/>
          <w:lang w:val="en-US"/>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确定成交人</w:t>
      </w:r>
    </w:p>
    <w:p w14:paraId="464F9990">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3B77AEE">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p>
    <w:p w14:paraId="45918F34">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w:t>
      </w:r>
      <w:r>
        <w:rPr>
          <w:rFonts w:hint="eastAsia" w:ascii="仿宋" w:hAnsi="仿宋" w:eastAsia="仿宋" w:cs="仿宋"/>
          <w:color w:val="auto"/>
          <w:sz w:val="32"/>
          <w:szCs w:val="32"/>
          <w:lang w:eastAsia="zh-CN"/>
        </w:rPr>
        <w:t>。</w:t>
      </w:r>
    </w:p>
    <w:p w14:paraId="2D14FB30">
      <w:pPr>
        <w:pStyle w:val="4"/>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p>
    <w:p w14:paraId="62CA969B">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0" w:leftChars="0" w:firstLine="640" w:firstLineChars="200"/>
        <w:jc w:val="both"/>
        <w:rPr>
          <w:rFonts w:hint="eastAsia" w:ascii="微软雅黑" w:hAnsi="微软雅黑" w:eastAsia="微软雅黑" w:cs="微软雅黑"/>
          <w:i w:val="0"/>
          <w:iCs w:val="0"/>
          <w:caps w:val="0"/>
          <w:color w:val="000000"/>
          <w:spacing w:val="0"/>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人无正当理由拒签合同，或者提出其他附加条件的，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w:t>
      </w:r>
      <w:r>
        <w:rPr>
          <w:rFonts w:hint="eastAsia" w:ascii="仿宋" w:hAnsi="仿宋" w:eastAsia="仿宋" w:cs="仿宋"/>
          <w:color w:val="auto"/>
          <w:sz w:val="32"/>
          <w:szCs w:val="32"/>
          <w:lang w:val="en-US" w:eastAsia="zh-CN"/>
        </w:rPr>
        <w:t>。</w:t>
      </w:r>
      <w:r>
        <w:rPr>
          <w:rFonts w:hint="eastAsia" w:ascii="仿宋" w:hAnsi="仿宋" w:eastAsia="仿宋" w:cs="仿宋"/>
          <w:color w:val="auto"/>
          <w:kern w:val="0"/>
          <w:sz w:val="32"/>
          <w:szCs w:val="32"/>
          <w:lang w:val="en-US" w:eastAsia="zh-CN" w:bidi="ar"/>
        </w:rPr>
        <w:t xml:space="preserve"> </w:t>
      </w:r>
    </w:p>
    <w:p w14:paraId="0EF7CB9E">
      <w:pPr>
        <w:pStyle w:val="2"/>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Chars="0"/>
        <w:jc w:val="both"/>
        <w:rPr>
          <w:rFonts w:hint="eastAsia" w:cs="宋体"/>
          <w:color w:val="auto"/>
          <w:sz w:val="36"/>
          <w:szCs w:val="36"/>
          <w:lang w:val="en-US" w:eastAsia="zh-CN"/>
        </w:rPr>
      </w:pPr>
    </w:p>
    <w:p w14:paraId="672E6428">
      <w:pPr>
        <w:rPr>
          <w:rFonts w:hint="eastAsia" w:cs="宋体"/>
          <w:color w:val="auto"/>
          <w:sz w:val="36"/>
          <w:szCs w:val="36"/>
          <w:lang w:val="en-US" w:eastAsia="zh-CN"/>
        </w:rPr>
      </w:pPr>
    </w:p>
    <w:p w14:paraId="53548F99">
      <w:pPr>
        <w:pStyle w:val="10"/>
        <w:rPr>
          <w:rFonts w:hint="eastAsia"/>
          <w:lang w:val="en-US" w:eastAsia="zh-CN"/>
        </w:rPr>
      </w:pPr>
    </w:p>
    <w:p w14:paraId="6ED4306C">
      <w:pPr>
        <w:pStyle w:val="2"/>
        <w:keepNext w:val="0"/>
        <w:keepLines w:val="0"/>
        <w:pageBreakBefore w:val="0"/>
        <w:widowControl w:val="0"/>
        <w:kinsoku w:val="0"/>
        <w:wordWrap/>
        <w:overflowPunct/>
        <w:topLinePunct w:val="0"/>
        <w:autoSpaceDE w:val="0"/>
        <w:autoSpaceDN w:val="0"/>
        <w:bidi w:val="0"/>
        <w:adjustRightInd w:val="0"/>
        <w:snapToGrid w:val="0"/>
        <w:spacing w:before="0" w:beforeAutospacing="0" w:after="0" w:afterAutospacing="0" w:line="500" w:lineRule="exact"/>
        <w:ind w:leftChars="0" w:firstLine="5120" w:firstLineChars="16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111AB144">
      <w:pPr>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ind w:leftChars="0" w:firstLine="5440" w:firstLineChars="17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color w:val="auto"/>
          <w:sz w:val="32"/>
          <w:szCs w:val="32"/>
          <w:lang w:val="en-US" w:eastAsia="zh-CN"/>
        </w:rPr>
        <w:t>2025年11月5</w:t>
      </w:r>
      <w:bookmarkStart w:id="65" w:name="_GoBack"/>
      <w:bookmarkEnd w:id="65"/>
      <w:r>
        <w:rPr>
          <w:rFonts w:hint="eastAsia" w:ascii="仿宋" w:hAnsi="仿宋" w:eastAsia="仿宋" w:cs="仿宋"/>
          <w:b w:val="0"/>
          <w:bCs w:val="0"/>
          <w:color w:val="auto"/>
          <w:sz w:val="32"/>
          <w:szCs w:val="32"/>
          <w:lang w:val="en-US" w:eastAsia="zh-CN"/>
        </w:rPr>
        <w:t>日</w:t>
      </w:r>
    </w:p>
    <w:p w14:paraId="76490C0F">
      <w:pPr>
        <w:pStyle w:val="2"/>
        <w:keepNext w:val="0"/>
        <w:keepLines w:val="0"/>
        <w:pageBreakBefore w:val="0"/>
        <w:widowControl w:val="0"/>
        <w:kinsoku w:val="0"/>
        <w:wordWrap/>
        <w:overflowPunct/>
        <w:topLinePunct w:val="0"/>
        <w:autoSpaceDE w:val="0"/>
        <w:autoSpaceDN w:val="0"/>
        <w:bidi w:val="0"/>
        <w:adjustRightInd w:val="0"/>
        <w:snapToGrid w:val="0"/>
        <w:spacing w:beforeAutospacing="0" w:afterAutospacing="0" w:line="500" w:lineRule="exact"/>
        <w:jc w:val="both"/>
        <w:rPr>
          <w:rFonts w:hint="eastAsia" w:ascii="宋体" w:hAnsi="宋体" w:eastAsia="宋体" w:cs="宋体"/>
          <w:color w:val="auto"/>
          <w:sz w:val="36"/>
          <w:szCs w:val="36"/>
          <w:lang w:val="en-US" w:eastAsia="zh-CN"/>
        </w:rPr>
      </w:pPr>
    </w:p>
    <w:p w14:paraId="0DB4D1D1">
      <w:pPr>
        <w:pStyle w:val="2"/>
        <w:jc w:val="both"/>
        <w:rPr>
          <w:rFonts w:hint="eastAsia" w:ascii="宋体" w:hAnsi="宋体" w:eastAsia="宋体" w:cs="宋体"/>
          <w:color w:val="auto"/>
          <w:sz w:val="36"/>
          <w:szCs w:val="36"/>
          <w:lang w:val="en-US" w:eastAsia="zh-CN"/>
        </w:rPr>
      </w:pPr>
    </w:p>
    <w:p w14:paraId="42E07A8E">
      <w:pPr>
        <w:pStyle w:val="2"/>
        <w:ind w:firstLine="723" w:firstLineChars="200"/>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4FC2DB4B">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FDA16F1">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XB20251031-01</w:t>
      </w:r>
    </w:p>
    <w:p w14:paraId="00720ECD">
      <w:pPr>
        <w:spacing w:line="400" w:lineRule="exact"/>
        <w:rPr>
          <w:rFonts w:hint="eastAsia" w:ascii="仿宋" w:hAnsi="仿宋" w:eastAsia="仿宋" w:cs="仿宋"/>
          <w:color w:val="auto"/>
          <w:sz w:val="32"/>
          <w:szCs w:val="32"/>
        </w:rPr>
      </w:pPr>
    </w:p>
    <w:p w14:paraId="03BB468E">
      <w:pPr>
        <w:spacing w:line="400" w:lineRule="exact"/>
        <w:rPr>
          <w:rFonts w:hint="eastAsia" w:ascii="仿宋" w:hAnsi="仿宋" w:eastAsia="仿宋" w:cs="仿宋"/>
          <w:color w:val="auto"/>
          <w:sz w:val="32"/>
          <w:szCs w:val="32"/>
        </w:rPr>
      </w:pPr>
    </w:p>
    <w:p w14:paraId="6FCDF1D8">
      <w:pPr>
        <w:spacing w:line="400" w:lineRule="exact"/>
        <w:rPr>
          <w:rFonts w:ascii="Times New Roman" w:hAnsi="Times New Roman"/>
          <w:color w:val="auto"/>
        </w:rPr>
      </w:pPr>
    </w:p>
    <w:p w14:paraId="502D911B">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75479CD8">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聘请专业投资管理咨询机构询比采购文件</w:t>
      </w:r>
    </w:p>
    <w:p w14:paraId="62057D22">
      <w:pPr>
        <w:jc w:val="center"/>
        <w:rPr>
          <w:rFonts w:hint="eastAsia" w:ascii="黑体" w:hAnsi="黑体" w:eastAsia="黑体" w:cs="黑体"/>
          <w:b/>
          <w:bCs/>
          <w:color w:val="auto"/>
          <w:sz w:val="44"/>
          <w:szCs w:val="44"/>
        </w:rPr>
      </w:pPr>
    </w:p>
    <w:p w14:paraId="228261AD">
      <w:pPr>
        <w:rPr>
          <w:rFonts w:hint="eastAsia" w:ascii="仿宋" w:hAnsi="仿宋" w:eastAsia="仿宋" w:cs="仿宋"/>
          <w:color w:val="auto"/>
          <w:sz w:val="32"/>
          <w:szCs w:val="32"/>
        </w:rPr>
      </w:pPr>
    </w:p>
    <w:p w14:paraId="6B355D9B">
      <w:pPr>
        <w:rPr>
          <w:rFonts w:hint="eastAsia" w:ascii="仿宋" w:hAnsi="仿宋" w:eastAsia="仿宋" w:cs="仿宋"/>
          <w:color w:val="auto"/>
          <w:sz w:val="32"/>
          <w:szCs w:val="32"/>
        </w:rPr>
      </w:pPr>
    </w:p>
    <w:p w14:paraId="49924C4B">
      <w:pPr>
        <w:rPr>
          <w:rFonts w:hint="eastAsia" w:ascii="仿宋" w:hAnsi="仿宋" w:eastAsia="仿宋" w:cs="仿宋"/>
          <w:color w:val="auto"/>
          <w:sz w:val="32"/>
          <w:szCs w:val="32"/>
        </w:rPr>
      </w:pPr>
    </w:p>
    <w:p w14:paraId="20B65072">
      <w:pPr>
        <w:rPr>
          <w:rFonts w:hint="eastAsia" w:ascii="仿宋" w:hAnsi="仿宋" w:eastAsia="仿宋" w:cs="仿宋"/>
          <w:color w:val="auto"/>
          <w:sz w:val="32"/>
          <w:szCs w:val="32"/>
        </w:rPr>
      </w:pPr>
    </w:p>
    <w:p w14:paraId="2431F366">
      <w:pPr>
        <w:rPr>
          <w:rFonts w:hint="eastAsia" w:ascii="仿宋" w:hAnsi="仿宋" w:eastAsia="仿宋" w:cs="仿宋"/>
          <w:color w:val="auto"/>
          <w:sz w:val="32"/>
          <w:szCs w:val="32"/>
        </w:rPr>
      </w:pPr>
    </w:p>
    <w:p w14:paraId="5B6FEAA6">
      <w:pPr>
        <w:rPr>
          <w:rFonts w:hint="eastAsia" w:ascii="仿宋" w:hAnsi="仿宋" w:eastAsia="仿宋" w:cs="仿宋"/>
          <w:color w:val="auto"/>
          <w:sz w:val="32"/>
          <w:szCs w:val="32"/>
        </w:rPr>
      </w:pPr>
    </w:p>
    <w:p w14:paraId="712AD708">
      <w:pPr>
        <w:rPr>
          <w:rFonts w:hint="eastAsia" w:ascii="仿宋" w:hAnsi="仿宋" w:eastAsia="仿宋" w:cs="仿宋"/>
          <w:color w:val="auto"/>
          <w:sz w:val="32"/>
          <w:szCs w:val="32"/>
        </w:rPr>
      </w:pPr>
    </w:p>
    <w:p w14:paraId="559FEDB2">
      <w:pPr>
        <w:rPr>
          <w:rFonts w:hint="eastAsia" w:ascii="仿宋" w:hAnsi="仿宋" w:eastAsia="仿宋" w:cs="仿宋"/>
          <w:color w:val="auto"/>
          <w:sz w:val="32"/>
          <w:szCs w:val="32"/>
        </w:rPr>
      </w:pPr>
    </w:p>
    <w:p w14:paraId="44FBBD2A">
      <w:pPr>
        <w:spacing w:line="360" w:lineRule="auto"/>
        <w:rPr>
          <w:rFonts w:hint="eastAsia" w:ascii="仿宋" w:hAnsi="仿宋" w:eastAsia="仿宋" w:cs="仿宋"/>
          <w:color w:val="auto"/>
          <w:sz w:val="32"/>
          <w:szCs w:val="32"/>
        </w:rPr>
      </w:pPr>
    </w:p>
    <w:p w14:paraId="4156CC9A">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E24C0B3">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26FF32F4">
      <w:pPr>
        <w:jc w:val="center"/>
        <w:rPr>
          <w:rFonts w:hint="eastAsia" w:ascii="宋体" w:hAnsi="宋体" w:eastAsia="宋体" w:cs="宋体"/>
          <w:b/>
          <w:bCs/>
          <w:color w:val="auto"/>
          <w:sz w:val="32"/>
          <w:szCs w:val="32"/>
        </w:rPr>
      </w:pPr>
    </w:p>
    <w:p w14:paraId="030994DF">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60989019">
      <w:pPr>
        <w:pStyle w:val="3"/>
        <w:jc w:val="center"/>
        <w:rPr>
          <w:rFonts w:hint="eastAsia" w:ascii="黑体" w:hAnsi="黑体" w:eastAsia="黑体" w:cs="黑体"/>
          <w:b/>
          <w:bCs w:val="0"/>
          <w:color w:val="auto"/>
          <w:sz w:val="36"/>
          <w:szCs w:val="36"/>
        </w:rPr>
      </w:pPr>
      <w:bookmarkStart w:id="31" w:name="_Toc3885"/>
      <w:bookmarkStart w:id="32"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31"/>
      <w:bookmarkEnd w:id="32"/>
    </w:p>
    <w:p w14:paraId="483C1166">
      <w:pPr>
        <w:spacing w:line="540" w:lineRule="exact"/>
        <w:rPr>
          <w:rFonts w:hint="eastAsia" w:ascii="仿宋" w:hAnsi="仿宋" w:eastAsia="仿宋" w:cs="仿宋"/>
          <w:color w:val="auto"/>
          <w:sz w:val="32"/>
          <w:szCs w:val="32"/>
        </w:rPr>
      </w:pPr>
    </w:p>
    <w:p w14:paraId="26ED588F">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5932D4C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426235C2">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0E4C4793">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5495CD80">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AC318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A1B0F66">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p>
    <w:p w14:paraId="0A168318">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8773387">
      <w:pPr>
        <w:pStyle w:val="3"/>
        <w:jc w:val="center"/>
        <w:rPr>
          <w:rFonts w:hint="eastAsia" w:ascii="黑体" w:hAnsi="黑体" w:eastAsia="黑体" w:cs="黑体"/>
          <w:b w:val="0"/>
          <w:bCs/>
          <w:color w:val="auto"/>
          <w:sz w:val="36"/>
          <w:szCs w:val="36"/>
        </w:rPr>
      </w:pPr>
      <w:bookmarkStart w:id="33" w:name="_Toc16531"/>
      <w:bookmarkStart w:id="34" w:name="_Toc504488768"/>
      <w:r>
        <w:rPr>
          <w:rFonts w:hint="eastAsia" w:ascii="黑体" w:hAnsi="黑体" w:eastAsia="黑体" w:cs="黑体"/>
          <w:b w:val="0"/>
          <w:bCs/>
          <w:color w:val="auto"/>
          <w:sz w:val="36"/>
          <w:szCs w:val="36"/>
        </w:rPr>
        <w:t>一、</w:t>
      </w:r>
      <w:bookmarkEnd w:id="33"/>
      <w:bookmarkEnd w:id="34"/>
      <w:r>
        <w:rPr>
          <w:rFonts w:hint="eastAsia" w:ascii="黑体" w:hAnsi="黑体" w:eastAsia="黑体" w:cs="黑体"/>
          <w:b w:val="0"/>
          <w:bCs/>
          <w:color w:val="auto"/>
          <w:sz w:val="36"/>
          <w:szCs w:val="36"/>
          <w:lang w:eastAsia="zh-CN"/>
        </w:rPr>
        <w:t>响应函</w:t>
      </w:r>
    </w:p>
    <w:p w14:paraId="5C79666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4D5C5C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，并按合同约定履行义务。</w:t>
      </w:r>
    </w:p>
    <w:p w14:paraId="77768F9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5988B70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54AD3367">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5A992BD2">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若有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1D02FAC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268C1D66">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0A79E2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3041094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3AC4C25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73A97B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0B448C0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562041B4">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5A90B30">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0CDAE1BC">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4EE9A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及有关资料内容完整、真实和准确，且不存在第</w:t>
      </w:r>
      <w:r>
        <w:rPr>
          <w:rFonts w:hint="eastAsia" w:ascii="仿宋" w:hAnsi="仿宋" w:eastAsia="仿宋" w:cs="仿宋"/>
          <w:color w:val="auto"/>
          <w:sz w:val="32"/>
          <w:szCs w:val="32"/>
          <w:lang w:val="en-US" w:eastAsia="zh-CN"/>
        </w:rPr>
        <w:t>一条第九款第五</w:t>
      </w:r>
      <w:r>
        <w:rPr>
          <w:rFonts w:hint="eastAsia" w:ascii="仿宋" w:hAnsi="仿宋" w:eastAsia="仿宋" w:cs="仿宋"/>
          <w:color w:val="auto"/>
          <w:sz w:val="32"/>
          <w:szCs w:val="32"/>
        </w:rPr>
        <w:t>项规定的任何一种情形。</w:t>
      </w:r>
    </w:p>
    <w:p w14:paraId="4FCAA57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六、</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2D96A15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1C01334C">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4A337C4E">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308962D4">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920F2C9">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6392F16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75B79FB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6471291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814D85E">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002B01AA">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588BA300">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14BDF667">
      <w:pPr>
        <w:spacing w:line="440" w:lineRule="exact"/>
        <w:rPr>
          <w:rFonts w:hint="eastAsia" w:ascii="仿宋" w:hAnsi="仿宋" w:eastAsia="仿宋" w:cs="仿宋"/>
          <w:color w:val="auto"/>
          <w:sz w:val="32"/>
          <w:szCs w:val="32"/>
        </w:rPr>
      </w:pPr>
    </w:p>
    <w:p w14:paraId="00F64D30">
      <w:pPr>
        <w:spacing w:line="440" w:lineRule="exact"/>
        <w:rPr>
          <w:rFonts w:hint="eastAsia" w:ascii="仿宋" w:hAnsi="仿宋" w:eastAsia="仿宋" w:cs="仿宋"/>
          <w:color w:val="auto"/>
          <w:sz w:val="32"/>
          <w:szCs w:val="32"/>
        </w:rPr>
      </w:pPr>
    </w:p>
    <w:p w14:paraId="2214B4F9">
      <w:pPr>
        <w:spacing w:line="440" w:lineRule="exact"/>
        <w:rPr>
          <w:rFonts w:hint="eastAsia" w:ascii="仿宋" w:hAnsi="仿宋" w:eastAsia="仿宋" w:cs="仿宋"/>
          <w:color w:val="auto"/>
          <w:sz w:val="32"/>
          <w:szCs w:val="32"/>
        </w:rPr>
      </w:pPr>
    </w:p>
    <w:p w14:paraId="3C82B2C0">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35" w:name="_Toc504488769"/>
      <w:bookmarkStart w:id="36" w:name="_Toc28734"/>
    </w:p>
    <w:p w14:paraId="5BF8AA38">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35"/>
      <w:bookmarkEnd w:id="36"/>
    </w:p>
    <w:p w14:paraId="34170B6E">
      <w:pPr>
        <w:spacing w:line="440" w:lineRule="exact"/>
        <w:rPr>
          <w:rFonts w:hint="eastAsia" w:ascii="仿宋" w:hAnsi="仿宋" w:eastAsia="仿宋" w:cs="仿宋"/>
          <w:color w:val="auto"/>
          <w:sz w:val="32"/>
          <w:szCs w:val="32"/>
        </w:rPr>
      </w:pPr>
    </w:p>
    <w:p w14:paraId="26B01521">
      <w:pPr>
        <w:spacing w:line="440" w:lineRule="exact"/>
        <w:rPr>
          <w:rFonts w:hint="eastAsia" w:ascii="仿宋" w:hAnsi="仿宋" w:eastAsia="仿宋" w:cs="仿宋"/>
          <w:color w:val="auto"/>
          <w:sz w:val="32"/>
          <w:szCs w:val="32"/>
        </w:rPr>
      </w:pPr>
    </w:p>
    <w:p w14:paraId="0268F46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F566D7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37" w:name="_Toc27897"/>
      <w:bookmarkStart w:id="38" w:name="_Toc352691662"/>
      <w:bookmarkStart w:id="39"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37"/>
      <w:bookmarkEnd w:id="38"/>
      <w:bookmarkEnd w:id="39"/>
      <w:r>
        <w:rPr>
          <w:rFonts w:hint="eastAsia" w:ascii="仿宋" w:hAnsi="仿宋" w:eastAsia="仿宋" w:cs="仿宋"/>
          <w:color w:val="auto"/>
          <w:sz w:val="32"/>
          <w:szCs w:val="32"/>
        </w:rPr>
        <w:t>龄</w:t>
      </w:r>
      <w:bookmarkStart w:id="40" w:name="_Toc152045789"/>
      <w:bookmarkStart w:id="41" w:name="_Toc15573"/>
      <w:bookmarkStart w:id="42" w:name="_Toc247527829"/>
      <w:bookmarkStart w:id="43" w:name="_Toc352691663"/>
      <w:bookmarkStart w:id="44" w:name="_Toc369531699"/>
      <w:bookmarkStart w:id="45" w:name="_Toc144974858"/>
      <w:bookmarkStart w:id="46" w:name="_Toc152042578"/>
      <w:bookmarkStart w:id="47" w:name="_Toc361508754"/>
      <w:bookmarkStart w:id="48" w:name="_Toc384308377"/>
      <w:bookmarkStart w:id="49" w:name="_Toc300835211"/>
      <w:bookmarkStart w:id="50" w:name="_Toc247514248"/>
      <w:r>
        <w:rPr>
          <w:rFonts w:hint="eastAsia" w:ascii="仿宋" w:hAnsi="仿宋" w:eastAsia="仿宋" w:cs="仿宋"/>
          <w:color w:val="auto"/>
          <w:sz w:val="32"/>
          <w:szCs w:val="32"/>
        </w:rPr>
        <w:t>：</w:t>
      </w:r>
      <w:bookmarkEnd w:id="40"/>
      <w:bookmarkEnd w:id="41"/>
      <w:bookmarkEnd w:id="42"/>
      <w:bookmarkEnd w:id="43"/>
      <w:bookmarkEnd w:id="44"/>
      <w:bookmarkEnd w:id="45"/>
      <w:bookmarkEnd w:id="46"/>
      <w:bookmarkEnd w:id="47"/>
      <w:bookmarkEnd w:id="48"/>
      <w:bookmarkEnd w:id="49"/>
      <w:bookmarkEnd w:id="50"/>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0E520D4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618E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12AAB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5C5A876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23DD859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F1056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683C1C5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CC536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11BE7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B2727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0CDCE0BC">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25ED54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F46D2FF">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2886FA4">
      <w:pPr>
        <w:pStyle w:val="3"/>
        <w:jc w:val="center"/>
        <w:rPr>
          <w:rFonts w:hint="eastAsia" w:ascii="黑体" w:hAnsi="黑体" w:eastAsia="黑体" w:cs="黑体"/>
          <w:color w:val="auto"/>
          <w:sz w:val="36"/>
          <w:szCs w:val="36"/>
        </w:rPr>
      </w:pPr>
      <w:bookmarkStart w:id="51" w:name="_Toc504488770"/>
      <w:bookmarkStart w:id="52" w:name="_Toc2777"/>
      <w:r>
        <w:rPr>
          <w:rFonts w:hint="eastAsia" w:ascii="黑体" w:hAnsi="黑体" w:eastAsia="黑体" w:cs="黑体"/>
          <w:color w:val="auto"/>
          <w:sz w:val="36"/>
          <w:szCs w:val="36"/>
        </w:rPr>
        <w:t>二、授权委托书</w:t>
      </w:r>
      <w:bookmarkEnd w:id="51"/>
      <w:bookmarkEnd w:id="52"/>
    </w:p>
    <w:p w14:paraId="24E3D049">
      <w:pPr>
        <w:spacing w:line="440" w:lineRule="exact"/>
        <w:rPr>
          <w:rFonts w:hint="eastAsia" w:ascii="仿宋" w:hAnsi="仿宋" w:eastAsia="仿宋" w:cs="仿宋"/>
          <w:color w:val="auto"/>
          <w:sz w:val="32"/>
          <w:szCs w:val="32"/>
        </w:rPr>
      </w:pPr>
    </w:p>
    <w:p w14:paraId="2D48CDFE">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7A93578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BACAD9D">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2F3DE94F">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5B9901B">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073E584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1E1D41B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5402510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14D05FC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5CF85479">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775B5167">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2FEBEF86">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00671E9F">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325B9E4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04A23EAD">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E4B0364">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7F1B6B3">
      <w:pPr>
        <w:pStyle w:val="3"/>
        <w:spacing w:after="0" w:line="413" w:lineRule="auto"/>
        <w:jc w:val="center"/>
        <w:rPr>
          <w:rFonts w:hint="eastAsia" w:ascii="黑体" w:hAnsi="黑体" w:eastAsia="黑体" w:cs="黑体"/>
          <w:color w:val="auto"/>
          <w:sz w:val="36"/>
          <w:szCs w:val="36"/>
          <w:u w:val="single"/>
          <w:lang w:eastAsia="zh-CN"/>
        </w:rPr>
      </w:pPr>
      <w:bookmarkStart w:id="53" w:name="_Toc504488772"/>
      <w:bookmarkStart w:id="54"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53"/>
      <w:bookmarkEnd w:id="54"/>
      <w:r>
        <w:rPr>
          <w:rFonts w:hint="eastAsia" w:ascii="黑体" w:hAnsi="黑体" w:eastAsia="黑体" w:cs="黑体"/>
          <w:color w:val="auto"/>
          <w:sz w:val="36"/>
          <w:szCs w:val="36"/>
          <w:lang w:eastAsia="zh-CN"/>
        </w:rPr>
        <w:t>响应保证金</w:t>
      </w:r>
    </w:p>
    <w:p w14:paraId="1D392026">
      <w:pPr>
        <w:spacing w:line="440" w:lineRule="exact"/>
        <w:rPr>
          <w:rFonts w:hint="eastAsia" w:ascii="仿宋" w:hAnsi="仿宋" w:eastAsia="仿宋" w:cs="仿宋"/>
          <w:b/>
          <w:bCs/>
          <w:color w:val="auto"/>
          <w:sz w:val="32"/>
          <w:szCs w:val="32"/>
        </w:rPr>
      </w:pPr>
    </w:p>
    <w:p w14:paraId="7F7569DA">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2B9CB47B">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087F4DFE">
      <w:pPr>
        <w:widowControl/>
        <w:jc w:val="left"/>
        <w:rPr>
          <w:rFonts w:ascii="Times New Roman" w:hAnsi="Times New Roman"/>
          <w:color w:val="auto"/>
          <w:sz w:val="24"/>
          <w:szCs w:val="24"/>
        </w:rPr>
      </w:pPr>
    </w:p>
    <w:p w14:paraId="69D61559">
      <w:pPr>
        <w:spacing w:line="440" w:lineRule="exact"/>
        <w:jc w:val="center"/>
        <w:rPr>
          <w:rFonts w:ascii="Times New Roman" w:hAnsi="Times New Roman" w:eastAsia="黑体"/>
          <w:color w:val="auto"/>
          <w:sz w:val="27"/>
          <w:szCs w:val="27"/>
        </w:rPr>
      </w:pPr>
    </w:p>
    <w:p w14:paraId="17EE9F92">
      <w:pPr>
        <w:spacing w:line="440" w:lineRule="exact"/>
        <w:ind w:firstLine="420" w:firstLineChars="200"/>
        <w:rPr>
          <w:rFonts w:ascii="Times New Roman" w:hAnsi="Times New Roman"/>
          <w:color w:val="auto"/>
          <w:szCs w:val="21"/>
        </w:rPr>
      </w:pPr>
    </w:p>
    <w:p w14:paraId="09AD4A38">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76BB8728">
      <w:pPr>
        <w:pStyle w:val="3"/>
        <w:numPr>
          <w:ilvl w:val="0"/>
          <w:numId w:val="0"/>
        </w:numPr>
        <w:ind w:firstLine="2570" w:firstLineChars="800"/>
        <w:jc w:val="left"/>
        <w:rPr>
          <w:rFonts w:hint="eastAsia" w:ascii="Times New Roman" w:hAnsi="Times New Roman"/>
          <w:color w:val="auto"/>
        </w:rPr>
      </w:pPr>
      <w:bookmarkStart w:id="55" w:name="_Toc5529"/>
      <w:bookmarkStart w:id="56" w:name="_Toc504488774"/>
      <w:r>
        <w:rPr>
          <w:rFonts w:hint="eastAsia" w:ascii="Times New Roman" w:hAnsi="Times New Roman" w:cs="Times New Roman"/>
          <w:b/>
          <w:color w:val="auto"/>
          <w:kern w:val="2"/>
          <w:sz w:val="32"/>
          <w:szCs w:val="20"/>
          <w:lang w:val="en-US" w:eastAsia="zh-CN" w:bidi="ar-SA"/>
        </w:rPr>
        <w:t>五</w:t>
      </w:r>
      <w:r>
        <w:rPr>
          <w:rFonts w:hint="eastAsia" w:ascii="Times New Roman" w:hAnsi="Times New Roman" w:eastAsia="黑体" w:cs="Times New Roman"/>
          <w:b/>
          <w:color w:val="auto"/>
          <w:kern w:val="2"/>
          <w:sz w:val="32"/>
          <w:szCs w:val="20"/>
          <w:lang w:val="en-US" w:eastAsia="zh-CN" w:bidi="ar-SA"/>
        </w:rPr>
        <w:t>、</w:t>
      </w:r>
      <w:r>
        <w:rPr>
          <w:rFonts w:hint="eastAsia" w:ascii="Times New Roman" w:hAnsi="Times New Roman"/>
          <w:color w:val="auto"/>
        </w:rPr>
        <w:t>分项报价表</w:t>
      </w:r>
      <w:bookmarkEnd w:id="55"/>
      <w:bookmarkEnd w:id="56"/>
    </w:p>
    <w:tbl>
      <w:tblPr>
        <w:tblStyle w:val="11"/>
        <w:tblW w:w="5055" w:type="pct"/>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70"/>
        <w:gridCol w:w="1686"/>
        <w:gridCol w:w="3722"/>
        <w:gridCol w:w="1450"/>
        <w:gridCol w:w="1088"/>
      </w:tblGrid>
      <w:tr w14:paraId="6CBEB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exact"/>
          <w:tblHeader/>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41685BB1">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000000"/>
                <w:sz w:val="24"/>
                <w:szCs w:val="24"/>
                <w:u w:val="none"/>
              </w:rPr>
            </w:pPr>
            <w:bookmarkStart w:id="57" w:name="_Toc1755"/>
            <w:bookmarkStart w:id="58" w:name="_Toc504488775"/>
            <w:r>
              <w:rPr>
                <w:rFonts w:hint="eastAsia" w:ascii="宋体" w:hAnsi="宋体" w:eastAsia="宋体" w:cs="宋体"/>
                <w:b/>
                <w:bCs/>
                <w:i w:val="0"/>
                <w:iCs w:val="0"/>
                <w:color w:val="000000"/>
                <w:kern w:val="0"/>
                <w:sz w:val="24"/>
                <w:szCs w:val="24"/>
                <w:u w:val="none"/>
                <w:lang w:val="en-US" w:eastAsia="zh-CN" w:bidi="ar"/>
              </w:rPr>
              <w:t>序号</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19141DAB">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服务名称</w:t>
            </w: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02088BD6">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服务内容</w:t>
            </w: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2D68AEC9">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报价（元）</w:t>
            </w: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599AFC2B">
            <w:pPr>
              <w:keepNext w:val="0"/>
              <w:keepLines w:val="0"/>
              <w:pageBreakBefore w:val="0"/>
              <w:widowControl/>
              <w:suppressLineNumbers w:val="0"/>
              <w:kinsoku/>
              <w:wordWrap/>
              <w:overflowPunct/>
              <w:topLinePunct w:val="0"/>
              <w:autoSpaceDE/>
              <w:autoSpaceDN/>
              <w:bidi w:val="0"/>
              <w:adjustRightInd/>
              <w:snapToGrid/>
              <w:spacing w:before="143" w:beforeLines="50"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8D6F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14067280">
            <w:pPr>
              <w:keepNext w:val="0"/>
              <w:keepLines w:val="0"/>
              <w:widowControl/>
              <w:suppressLineNumbers w:val="0"/>
              <w:jc w:val="center"/>
              <w:textAlignment w:val="center"/>
              <w:rPr>
                <w:rFonts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1</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45D3F6D0">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0743AE69">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49A947D2">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40C74A95">
            <w:pPr>
              <w:jc w:val="center"/>
              <w:rPr>
                <w:rFonts w:hint="eastAsia" w:ascii="宋体" w:hAnsi="宋体" w:eastAsia="宋体" w:cs="宋体"/>
                <w:i w:val="0"/>
                <w:iCs w:val="0"/>
                <w:color w:val="000000"/>
                <w:sz w:val="20"/>
                <w:szCs w:val="20"/>
                <w:u w:val="none"/>
              </w:rPr>
            </w:pPr>
          </w:p>
        </w:tc>
      </w:tr>
      <w:tr w14:paraId="05453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3D6078B4">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2</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2B5C83F3">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15BEE4B6">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76D3DE83">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0E447AD4">
            <w:pPr>
              <w:jc w:val="center"/>
              <w:rPr>
                <w:rFonts w:hint="eastAsia" w:ascii="宋体" w:hAnsi="宋体" w:eastAsia="宋体" w:cs="宋体"/>
                <w:i w:val="0"/>
                <w:iCs w:val="0"/>
                <w:color w:val="000000"/>
                <w:sz w:val="20"/>
                <w:szCs w:val="20"/>
                <w:u w:val="none"/>
              </w:rPr>
            </w:pPr>
          </w:p>
        </w:tc>
      </w:tr>
      <w:tr w14:paraId="1FE7E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3426517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3</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4A2E142D">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169D258A">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03BD8DFB">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0F1CE372">
            <w:pPr>
              <w:jc w:val="center"/>
              <w:rPr>
                <w:rFonts w:hint="eastAsia" w:ascii="宋体" w:hAnsi="宋体" w:eastAsia="宋体" w:cs="宋体"/>
                <w:i w:val="0"/>
                <w:iCs w:val="0"/>
                <w:color w:val="000000"/>
                <w:sz w:val="20"/>
                <w:szCs w:val="20"/>
                <w:u w:val="none"/>
              </w:rPr>
            </w:pPr>
          </w:p>
        </w:tc>
      </w:tr>
      <w:tr w14:paraId="58AF2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6B653A7B">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4</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42157A8C">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10BF79E1">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4A4FC2CC">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1B046914">
            <w:pPr>
              <w:jc w:val="center"/>
              <w:rPr>
                <w:rFonts w:hint="eastAsia" w:ascii="宋体" w:hAnsi="宋体" w:eastAsia="宋体" w:cs="宋体"/>
                <w:i w:val="0"/>
                <w:iCs w:val="0"/>
                <w:color w:val="000000"/>
                <w:sz w:val="20"/>
                <w:szCs w:val="20"/>
                <w:u w:val="none"/>
              </w:rPr>
            </w:pPr>
          </w:p>
        </w:tc>
      </w:tr>
      <w:tr w14:paraId="41738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0A97CE4C">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5</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17010E74">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7F4BC4BA">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128EEACD">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4C2FB8ED">
            <w:pPr>
              <w:jc w:val="center"/>
              <w:rPr>
                <w:rFonts w:hint="eastAsia" w:ascii="宋体" w:hAnsi="宋体" w:eastAsia="宋体" w:cs="宋体"/>
                <w:i w:val="0"/>
                <w:iCs w:val="0"/>
                <w:color w:val="000000"/>
                <w:sz w:val="20"/>
                <w:szCs w:val="20"/>
                <w:u w:val="none"/>
              </w:rPr>
            </w:pPr>
          </w:p>
        </w:tc>
      </w:tr>
      <w:tr w14:paraId="70B23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389" w:type="pct"/>
            <w:tcBorders>
              <w:top w:val="single" w:color="000000" w:sz="4" w:space="0"/>
              <w:left w:val="single" w:color="000000" w:sz="4" w:space="0"/>
              <w:bottom w:val="single" w:color="000000" w:sz="4" w:space="0"/>
              <w:right w:val="single" w:color="000000" w:sz="4" w:space="0"/>
            </w:tcBorders>
            <w:noWrap w:val="0"/>
            <w:vAlign w:val="center"/>
          </w:tcPr>
          <w:p w14:paraId="34ECAAA3">
            <w:pPr>
              <w:keepNext w:val="0"/>
              <w:keepLines w:val="0"/>
              <w:widowControl/>
              <w:suppressLineNumbers w:val="0"/>
              <w:jc w:val="center"/>
              <w:textAlignment w:val="center"/>
              <w:rPr>
                <w:rFonts w:hint="eastAsia" w:ascii="新宋体" w:hAnsi="新宋体" w:eastAsia="新宋体" w:cs="新宋体"/>
                <w:i w:val="0"/>
                <w:iCs w:val="0"/>
                <w:color w:val="000000"/>
                <w:sz w:val="20"/>
                <w:szCs w:val="20"/>
                <w:u w:val="none"/>
              </w:rPr>
            </w:pPr>
            <w:r>
              <w:rPr>
                <w:rFonts w:hint="eastAsia" w:ascii="新宋体" w:hAnsi="新宋体" w:eastAsia="新宋体" w:cs="新宋体"/>
                <w:i w:val="0"/>
                <w:iCs w:val="0"/>
                <w:color w:val="000000"/>
                <w:kern w:val="0"/>
                <w:sz w:val="20"/>
                <w:szCs w:val="20"/>
                <w:u w:val="none"/>
                <w:lang w:val="en-US" w:eastAsia="zh-CN" w:bidi="ar"/>
              </w:rPr>
              <w:t>6</w:t>
            </w:r>
          </w:p>
        </w:tc>
        <w:tc>
          <w:tcPr>
            <w:tcW w:w="978" w:type="pct"/>
            <w:tcBorders>
              <w:top w:val="single" w:color="000000" w:sz="4" w:space="0"/>
              <w:left w:val="single" w:color="000000" w:sz="4" w:space="0"/>
              <w:bottom w:val="single" w:color="000000" w:sz="4" w:space="0"/>
              <w:right w:val="single" w:color="000000" w:sz="4" w:space="0"/>
            </w:tcBorders>
            <w:noWrap w:val="0"/>
            <w:vAlign w:val="center"/>
          </w:tcPr>
          <w:p w14:paraId="2E9F548D">
            <w:pPr>
              <w:keepNext w:val="0"/>
              <w:keepLines w:val="0"/>
              <w:widowControl/>
              <w:suppressLineNumbers w:val="0"/>
              <w:jc w:val="both"/>
              <w:textAlignment w:val="center"/>
              <w:rPr>
                <w:rFonts w:hint="eastAsia" w:ascii="新宋体" w:hAnsi="新宋体" w:eastAsia="新宋体" w:cs="新宋体"/>
                <w:i w:val="0"/>
                <w:iCs w:val="0"/>
                <w:color w:val="000000"/>
                <w:sz w:val="20"/>
                <w:szCs w:val="20"/>
                <w:u w:val="none"/>
              </w:rPr>
            </w:pPr>
          </w:p>
        </w:tc>
        <w:tc>
          <w:tcPr>
            <w:tcW w:w="2159" w:type="pct"/>
            <w:tcBorders>
              <w:top w:val="single" w:color="000000" w:sz="4" w:space="0"/>
              <w:left w:val="single" w:color="000000" w:sz="4" w:space="0"/>
              <w:bottom w:val="single" w:color="000000" w:sz="4" w:space="0"/>
              <w:right w:val="single" w:color="000000" w:sz="4" w:space="0"/>
            </w:tcBorders>
            <w:noWrap w:val="0"/>
            <w:vAlign w:val="center"/>
          </w:tcPr>
          <w:p w14:paraId="23209410">
            <w:pPr>
              <w:keepNext w:val="0"/>
              <w:keepLines w:val="0"/>
              <w:widowControl/>
              <w:suppressLineNumbers w:val="0"/>
              <w:jc w:val="left"/>
              <w:textAlignment w:val="center"/>
              <w:rPr>
                <w:rFonts w:hint="eastAsia" w:ascii="新宋体" w:hAnsi="新宋体" w:eastAsia="新宋体" w:cs="新宋体"/>
                <w:i w:val="0"/>
                <w:iCs w:val="0"/>
                <w:color w:val="000000"/>
                <w:sz w:val="20"/>
                <w:szCs w:val="20"/>
                <w:u w:val="none"/>
              </w:rPr>
            </w:pPr>
          </w:p>
        </w:tc>
        <w:tc>
          <w:tcPr>
            <w:tcW w:w="841" w:type="pct"/>
            <w:tcBorders>
              <w:top w:val="single" w:color="000000" w:sz="4" w:space="0"/>
              <w:left w:val="single" w:color="000000" w:sz="4" w:space="0"/>
              <w:bottom w:val="single" w:color="000000" w:sz="4" w:space="0"/>
              <w:right w:val="single" w:color="000000" w:sz="4" w:space="0"/>
            </w:tcBorders>
            <w:noWrap w:val="0"/>
            <w:vAlign w:val="center"/>
          </w:tcPr>
          <w:p w14:paraId="010C04FA">
            <w:pPr>
              <w:jc w:val="left"/>
              <w:rPr>
                <w:rFonts w:hint="eastAsia" w:ascii="新宋体" w:hAnsi="新宋体" w:eastAsia="新宋体" w:cs="新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noWrap w:val="0"/>
            <w:vAlign w:val="center"/>
          </w:tcPr>
          <w:p w14:paraId="57793D21">
            <w:pPr>
              <w:jc w:val="center"/>
              <w:rPr>
                <w:rFonts w:hint="eastAsia" w:ascii="宋体" w:hAnsi="宋体" w:eastAsia="宋体" w:cs="宋体"/>
                <w:i w:val="0"/>
                <w:iCs w:val="0"/>
                <w:color w:val="000000"/>
                <w:sz w:val="20"/>
                <w:szCs w:val="20"/>
                <w:u w:val="none"/>
              </w:rPr>
            </w:pPr>
          </w:p>
        </w:tc>
      </w:tr>
    </w:tbl>
    <w:p w14:paraId="09AA6D0D">
      <w:pPr>
        <w:pStyle w:val="3"/>
        <w:spacing w:after="0"/>
        <w:jc w:val="center"/>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57"/>
      <w:bookmarkEnd w:id="58"/>
    </w:p>
    <w:p w14:paraId="58F6963B">
      <w:pPr>
        <w:pStyle w:val="4"/>
        <w:spacing w:before="20" w:after="0"/>
        <w:ind w:firstLine="103"/>
        <w:rPr>
          <w:rFonts w:ascii="Times New Roman"/>
          <w:color w:val="auto"/>
          <w:sz w:val="32"/>
          <w:szCs w:val="32"/>
        </w:rPr>
      </w:pPr>
      <w:bookmarkStart w:id="59" w:name="_Toc13906"/>
      <w:bookmarkStart w:id="60" w:name="_Toc504488776"/>
      <w:r>
        <w:rPr>
          <w:rFonts w:hint="eastAsia" w:ascii="Times New Roman"/>
          <w:color w:val="auto"/>
          <w:sz w:val="32"/>
          <w:szCs w:val="32"/>
        </w:rPr>
        <w:t>（一）基本情况表</w:t>
      </w:r>
      <w:bookmarkEnd w:id="59"/>
      <w:bookmarkEnd w:id="60"/>
    </w:p>
    <w:tbl>
      <w:tblPr>
        <w:tblStyle w:val="11"/>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109"/>
        <w:gridCol w:w="2122"/>
      </w:tblGrid>
      <w:tr w14:paraId="61826D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47CC06D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w:t>
            </w:r>
          </w:p>
        </w:tc>
        <w:tc>
          <w:tcPr>
            <w:tcW w:w="6307" w:type="dxa"/>
            <w:gridSpan w:val="4"/>
            <w:tcBorders>
              <w:top w:val="single" w:color="auto" w:sz="4" w:space="0"/>
              <w:left w:val="single" w:color="auto" w:sz="4" w:space="0"/>
              <w:bottom w:val="single" w:color="auto" w:sz="4" w:space="0"/>
            </w:tcBorders>
            <w:noWrap w:val="0"/>
            <w:vAlign w:val="center"/>
          </w:tcPr>
          <w:p w14:paraId="29CE914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5C60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09E284B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882B19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14:paraId="13FFDC6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成立</w:t>
            </w:r>
          </w:p>
          <w:p w14:paraId="4C61F3F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时间</w:t>
            </w:r>
          </w:p>
        </w:tc>
        <w:tc>
          <w:tcPr>
            <w:tcW w:w="2122" w:type="dxa"/>
            <w:tcBorders>
              <w:top w:val="single" w:color="auto" w:sz="4" w:space="0"/>
              <w:left w:val="single" w:color="auto" w:sz="4" w:space="0"/>
              <w:bottom w:val="single" w:color="auto" w:sz="4" w:space="0"/>
            </w:tcBorders>
            <w:noWrap w:val="0"/>
            <w:vAlign w:val="center"/>
          </w:tcPr>
          <w:p w14:paraId="6D9C5E4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1A6DC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EAEB4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注册地址</w:t>
            </w:r>
          </w:p>
        </w:tc>
        <w:tc>
          <w:tcPr>
            <w:tcW w:w="6307" w:type="dxa"/>
            <w:gridSpan w:val="4"/>
            <w:tcBorders>
              <w:top w:val="single" w:color="auto" w:sz="4" w:space="0"/>
              <w:left w:val="single" w:color="auto" w:sz="4" w:space="0"/>
              <w:bottom w:val="single" w:color="auto" w:sz="4" w:space="0"/>
            </w:tcBorders>
            <w:noWrap w:val="0"/>
            <w:vAlign w:val="center"/>
          </w:tcPr>
          <w:p w14:paraId="562E8A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71EE6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exact"/>
        </w:trPr>
        <w:tc>
          <w:tcPr>
            <w:tcW w:w="2210" w:type="dxa"/>
            <w:tcBorders>
              <w:top w:val="single" w:color="auto" w:sz="4" w:space="0"/>
              <w:bottom w:val="single" w:color="auto" w:sz="4" w:space="0"/>
              <w:right w:val="single" w:color="auto" w:sz="4" w:space="0"/>
            </w:tcBorders>
            <w:noWrap w:val="0"/>
            <w:vAlign w:val="center"/>
          </w:tcPr>
          <w:p w14:paraId="59C3675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7F97FCC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14:paraId="6EFF24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员工</w:t>
            </w:r>
          </w:p>
          <w:p w14:paraId="1FFBA2C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总数</w:t>
            </w:r>
          </w:p>
        </w:tc>
        <w:tc>
          <w:tcPr>
            <w:tcW w:w="2122" w:type="dxa"/>
            <w:tcBorders>
              <w:top w:val="single" w:color="auto" w:sz="4" w:space="0"/>
              <w:left w:val="single" w:color="auto" w:sz="4" w:space="0"/>
              <w:bottom w:val="single" w:color="auto" w:sz="4" w:space="0"/>
            </w:tcBorders>
            <w:noWrap w:val="0"/>
            <w:vAlign w:val="center"/>
          </w:tcPr>
          <w:p w14:paraId="55220AF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1F1CC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51563FF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5D3F577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A84B2E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14:paraId="3AD30D5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2122" w:type="dxa"/>
            <w:tcBorders>
              <w:top w:val="single" w:color="auto" w:sz="4" w:space="0"/>
              <w:left w:val="single" w:color="auto" w:sz="4" w:space="0"/>
              <w:bottom w:val="single" w:color="auto" w:sz="4" w:space="0"/>
            </w:tcBorders>
            <w:noWrap w:val="0"/>
            <w:vAlign w:val="center"/>
          </w:tcPr>
          <w:p w14:paraId="6DA9245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0253FF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2064D2FC">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4"/>
                <w:szCs w:val="24"/>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5AE1E4D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547367B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14:paraId="5F35D80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w:t>
            </w:r>
          </w:p>
        </w:tc>
        <w:tc>
          <w:tcPr>
            <w:tcW w:w="2122" w:type="dxa"/>
            <w:tcBorders>
              <w:top w:val="single" w:color="auto" w:sz="4" w:space="0"/>
              <w:left w:val="single" w:color="auto" w:sz="4" w:space="0"/>
              <w:bottom w:val="single" w:color="auto" w:sz="4" w:space="0"/>
            </w:tcBorders>
            <w:noWrap w:val="0"/>
            <w:vAlign w:val="center"/>
          </w:tcPr>
          <w:p w14:paraId="4FBA159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2A2E63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exact"/>
        </w:trPr>
        <w:tc>
          <w:tcPr>
            <w:tcW w:w="2210" w:type="dxa"/>
            <w:tcBorders>
              <w:top w:val="single" w:color="auto" w:sz="4" w:space="0"/>
              <w:bottom w:val="single" w:color="auto" w:sz="4" w:space="0"/>
              <w:right w:val="single" w:color="auto" w:sz="4" w:space="0"/>
            </w:tcBorders>
            <w:noWrap w:val="0"/>
            <w:vAlign w:val="center"/>
          </w:tcPr>
          <w:p w14:paraId="2A3D55D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w:t>
            </w:r>
          </w:p>
          <w:p w14:paraId="0FFB359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5D3F8A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FB5119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c>
          <w:tcPr>
            <w:tcW w:w="1109" w:type="dxa"/>
            <w:tcBorders>
              <w:top w:val="single" w:color="auto" w:sz="4" w:space="0"/>
              <w:left w:val="single" w:color="auto" w:sz="4" w:space="0"/>
              <w:bottom w:val="single" w:color="auto" w:sz="4" w:space="0"/>
              <w:right w:val="single" w:color="auto" w:sz="4" w:space="0"/>
            </w:tcBorders>
            <w:noWrap w:val="0"/>
            <w:vAlign w:val="center"/>
          </w:tcPr>
          <w:p w14:paraId="5358B60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电话</w:t>
            </w:r>
          </w:p>
        </w:tc>
        <w:tc>
          <w:tcPr>
            <w:tcW w:w="2122" w:type="dxa"/>
            <w:tcBorders>
              <w:top w:val="single" w:color="auto" w:sz="4" w:space="0"/>
              <w:left w:val="single" w:color="auto" w:sz="4" w:space="0"/>
              <w:bottom w:val="single" w:color="auto" w:sz="4" w:space="0"/>
            </w:tcBorders>
            <w:noWrap w:val="0"/>
            <w:vAlign w:val="center"/>
          </w:tcPr>
          <w:p w14:paraId="327D81B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r w14:paraId="63BD1F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32" w:hRule="exact"/>
        </w:trPr>
        <w:tc>
          <w:tcPr>
            <w:tcW w:w="2210" w:type="dxa"/>
            <w:tcBorders>
              <w:top w:val="single" w:color="auto" w:sz="4" w:space="0"/>
              <w:bottom w:val="single" w:color="auto" w:sz="4" w:space="0"/>
              <w:right w:val="single" w:color="auto" w:sz="4" w:space="0"/>
            </w:tcBorders>
            <w:noWrap w:val="0"/>
            <w:vAlign w:val="center"/>
          </w:tcPr>
          <w:p w14:paraId="64B9BE5A">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须知要求</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C5F8654">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79F891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137A0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基本账户开户银行</w:t>
            </w:r>
          </w:p>
        </w:tc>
        <w:tc>
          <w:tcPr>
            <w:tcW w:w="6307" w:type="dxa"/>
            <w:gridSpan w:val="4"/>
            <w:tcBorders>
              <w:top w:val="single" w:color="auto" w:sz="4" w:space="0"/>
              <w:left w:val="single" w:color="auto" w:sz="4" w:space="0"/>
              <w:bottom w:val="single" w:color="auto" w:sz="4" w:space="0"/>
            </w:tcBorders>
            <w:noWrap w:val="0"/>
            <w:vAlign w:val="center"/>
          </w:tcPr>
          <w:p w14:paraId="4FC5A7F3">
            <w:pPr>
              <w:keepNext w:val="0"/>
              <w:keepLines w:val="0"/>
              <w:pageBreakBefore w:val="0"/>
              <w:widowControl w:val="0"/>
              <w:kinsoku/>
              <w:wordWrap/>
              <w:overflowPunct/>
              <w:topLinePunct/>
              <w:autoSpaceDE/>
              <w:autoSpaceDN/>
              <w:bidi w:val="0"/>
              <w:adjustRightInd/>
              <w:snapToGrid/>
              <w:spacing w:line="320" w:lineRule="exact"/>
              <w:ind w:firstLine="120" w:firstLineChars="50"/>
              <w:textAlignment w:val="auto"/>
              <w:rPr>
                <w:rFonts w:hint="eastAsia" w:ascii="宋体" w:hAnsi="宋体" w:eastAsia="宋体" w:cs="宋体"/>
                <w:color w:val="auto"/>
                <w:sz w:val="24"/>
                <w:szCs w:val="24"/>
              </w:rPr>
            </w:pPr>
          </w:p>
        </w:tc>
      </w:tr>
      <w:tr w14:paraId="001904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1920F0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基本账户银行账号</w:t>
            </w:r>
          </w:p>
        </w:tc>
        <w:tc>
          <w:tcPr>
            <w:tcW w:w="6307" w:type="dxa"/>
            <w:gridSpan w:val="4"/>
            <w:tcBorders>
              <w:top w:val="single" w:color="auto" w:sz="4" w:space="0"/>
              <w:left w:val="single" w:color="auto" w:sz="4" w:space="0"/>
            </w:tcBorders>
            <w:noWrap w:val="0"/>
            <w:vAlign w:val="center"/>
          </w:tcPr>
          <w:p w14:paraId="3D2CF9A5">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777685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2852D4C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近三年营业额</w:t>
            </w:r>
          </w:p>
        </w:tc>
        <w:tc>
          <w:tcPr>
            <w:tcW w:w="6307" w:type="dxa"/>
            <w:gridSpan w:val="4"/>
            <w:tcBorders>
              <w:top w:val="single" w:color="auto" w:sz="4" w:space="0"/>
              <w:left w:val="single" w:color="auto" w:sz="4" w:space="0"/>
            </w:tcBorders>
            <w:noWrap w:val="0"/>
            <w:vAlign w:val="center"/>
          </w:tcPr>
          <w:p w14:paraId="6F2D7B35">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4AE88B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4" w:hRule="exact"/>
        </w:trPr>
        <w:tc>
          <w:tcPr>
            <w:tcW w:w="2210" w:type="dxa"/>
            <w:tcBorders>
              <w:top w:val="single" w:color="auto" w:sz="4" w:space="0"/>
              <w:right w:val="single" w:color="auto" w:sz="4" w:space="0"/>
            </w:tcBorders>
            <w:noWrap w:val="0"/>
            <w:vAlign w:val="center"/>
          </w:tcPr>
          <w:p w14:paraId="6F516B1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响应文件所供</w:t>
            </w:r>
            <w:r>
              <w:rPr>
                <w:rFonts w:hint="eastAsia" w:ascii="宋体" w:hAnsi="宋体" w:eastAsia="宋体" w:cs="宋体"/>
                <w:color w:val="auto"/>
                <w:sz w:val="24"/>
                <w:szCs w:val="24"/>
              </w:rPr>
              <w:t>产品制造商名称</w:t>
            </w:r>
          </w:p>
        </w:tc>
        <w:tc>
          <w:tcPr>
            <w:tcW w:w="6307" w:type="dxa"/>
            <w:gridSpan w:val="4"/>
            <w:tcBorders>
              <w:top w:val="single" w:color="auto" w:sz="4" w:space="0"/>
              <w:left w:val="single" w:color="auto" w:sz="4" w:space="0"/>
            </w:tcBorders>
            <w:noWrap w:val="0"/>
            <w:vAlign w:val="center"/>
          </w:tcPr>
          <w:p w14:paraId="0076CEE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4"/>
                <w:szCs w:val="24"/>
              </w:rPr>
            </w:pPr>
          </w:p>
        </w:tc>
      </w:tr>
      <w:tr w14:paraId="2067DF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exact"/>
        </w:trPr>
        <w:tc>
          <w:tcPr>
            <w:tcW w:w="2210" w:type="dxa"/>
            <w:tcBorders>
              <w:top w:val="single" w:color="auto" w:sz="4" w:space="0"/>
              <w:bottom w:val="single" w:color="auto" w:sz="4" w:space="0"/>
              <w:right w:val="single" w:color="auto" w:sz="4" w:space="0"/>
            </w:tcBorders>
            <w:noWrap w:val="0"/>
            <w:vAlign w:val="center"/>
          </w:tcPr>
          <w:p w14:paraId="07BF961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6307" w:type="dxa"/>
            <w:gridSpan w:val="4"/>
            <w:tcBorders>
              <w:top w:val="single" w:color="auto" w:sz="4" w:space="0"/>
              <w:left w:val="single" w:color="auto" w:sz="4" w:space="0"/>
              <w:bottom w:val="single" w:color="auto" w:sz="4" w:space="0"/>
            </w:tcBorders>
            <w:noWrap w:val="0"/>
            <w:vAlign w:val="center"/>
          </w:tcPr>
          <w:p w14:paraId="23396F6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4"/>
                <w:szCs w:val="24"/>
              </w:rPr>
            </w:pPr>
          </w:p>
        </w:tc>
      </w:tr>
    </w:tbl>
    <w:p w14:paraId="6A561DB8">
      <w:pPr>
        <w:spacing w:line="360" w:lineRule="auto"/>
        <w:ind w:firstLine="480" w:firstLineChars="200"/>
        <w:rPr>
          <w:rFonts w:hint="eastAsia" w:ascii="宋体" w:hAnsi="宋体" w:eastAsia="宋体" w:cs="宋体"/>
          <w:color w:val="auto"/>
          <w:sz w:val="24"/>
          <w:szCs w:val="24"/>
        </w:rPr>
      </w:pPr>
    </w:p>
    <w:p w14:paraId="3C3DA961">
      <w:pPr>
        <w:spacing w:line="360" w:lineRule="auto"/>
        <w:rPr>
          <w:rFonts w:hint="eastAsia" w:ascii="宋体" w:hAnsi="宋体" w:eastAsia="宋体" w:cs="宋体"/>
          <w:b w:val="0"/>
          <w:bCs w:val="0"/>
          <w:color w:val="auto"/>
          <w:sz w:val="24"/>
          <w:szCs w:val="24"/>
        </w:rPr>
      </w:pPr>
    </w:p>
    <w:p w14:paraId="4B93D5C1">
      <w:pPr>
        <w:rPr>
          <w:b/>
          <w:color w:val="auto"/>
          <w:sz w:val="28"/>
          <w:szCs w:val="28"/>
        </w:rPr>
      </w:pPr>
      <w:r>
        <w:rPr>
          <w:rFonts w:hint="eastAsia" w:ascii="宋体" w:hAnsi="宋体" w:eastAsia="宋体" w:cs="宋体"/>
          <w:color w:val="auto"/>
          <w:sz w:val="24"/>
          <w:szCs w:val="24"/>
        </w:rPr>
        <w:br w:type="page"/>
      </w:r>
    </w:p>
    <w:p w14:paraId="7023B574">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64B43030">
      <w:pPr>
        <w:spacing w:line="440" w:lineRule="exact"/>
        <w:ind w:firstLine="643" w:firstLineChars="200"/>
        <w:jc w:val="left"/>
        <w:rPr>
          <w:rFonts w:hint="eastAsia" w:ascii="仿宋" w:hAnsi="仿宋" w:eastAsia="仿宋" w:cs="仿宋"/>
          <w:b/>
          <w:color w:val="auto"/>
          <w:sz w:val="32"/>
          <w:szCs w:val="32"/>
          <w:u w:val="single"/>
        </w:rPr>
      </w:pPr>
    </w:p>
    <w:p w14:paraId="008A6EEF">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1C197D2A">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7AD34EBF">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6F6AEEA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54822B7A">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42BF137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57AD5887">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4E17E6C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2C59CAE2">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38D4BDBA">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658A08D6">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3D01781F">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76EE44A1">
      <w:pPr>
        <w:pStyle w:val="4"/>
        <w:ind w:firstLine="103"/>
        <w:rPr>
          <w:rFonts w:ascii="Times New Roman"/>
          <w:color w:val="auto"/>
          <w:sz w:val="32"/>
          <w:szCs w:val="32"/>
        </w:rPr>
      </w:pPr>
      <w:bookmarkStart w:id="61" w:name="_Toc19475"/>
      <w:bookmarkStart w:id="62"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情况表</w:t>
      </w:r>
      <w:bookmarkEnd w:id="61"/>
      <w:bookmarkEnd w:id="62"/>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E425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269" w:type="dxa"/>
            <w:noWrap w:val="0"/>
            <w:vAlign w:val="center"/>
          </w:tcPr>
          <w:p w14:paraId="771B79C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项目名称</w:t>
            </w:r>
          </w:p>
        </w:tc>
        <w:tc>
          <w:tcPr>
            <w:tcW w:w="6253" w:type="dxa"/>
            <w:noWrap w:val="0"/>
            <w:vAlign w:val="top"/>
          </w:tcPr>
          <w:p w14:paraId="5BD39C03">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3DB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2269" w:type="dxa"/>
            <w:noWrap w:val="0"/>
            <w:vAlign w:val="center"/>
          </w:tcPr>
          <w:p w14:paraId="2AEE66C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买方名称</w:t>
            </w:r>
          </w:p>
        </w:tc>
        <w:tc>
          <w:tcPr>
            <w:tcW w:w="6253" w:type="dxa"/>
            <w:noWrap w:val="0"/>
            <w:vAlign w:val="top"/>
          </w:tcPr>
          <w:p w14:paraId="2C88DD0B">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4DE1F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269" w:type="dxa"/>
            <w:noWrap w:val="0"/>
            <w:vAlign w:val="center"/>
          </w:tcPr>
          <w:p w14:paraId="64632E9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买方联系人及电话</w:t>
            </w:r>
          </w:p>
        </w:tc>
        <w:tc>
          <w:tcPr>
            <w:tcW w:w="6253" w:type="dxa"/>
            <w:noWrap w:val="0"/>
            <w:vAlign w:val="top"/>
          </w:tcPr>
          <w:p w14:paraId="2364B6EB">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198B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269" w:type="dxa"/>
            <w:noWrap w:val="0"/>
            <w:vAlign w:val="center"/>
          </w:tcPr>
          <w:p w14:paraId="080BEE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合同价格</w:t>
            </w:r>
          </w:p>
        </w:tc>
        <w:tc>
          <w:tcPr>
            <w:tcW w:w="6253" w:type="dxa"/>
            <w:noWrap w:val="0"/>
            <w:vAlign w:val="top"/>
          </w:tcPr>
          <w:p w14:paraId="5677549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A607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0806B2B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项目概况及</w:t>
            </w:r>
            <w:r>
              <w:rPr>
                <w:rFonts w:hint="eastAsia" w:ascii="Times New Roman" w:hAnsi="Times New Roman"/>
                <w:color w:val="auto"/>
                <w:sz w:val="24"/>
                <w:szCs w:val="24"/>
                <w:lang w:eastAsia="zh-CN"/>
              </w:rPr>
              <w:t>供应商</w:t>
            </w:r>
            <w:r>
              <w:rPr>
                <w:rFonts w:hint="eastAsia" w:ascii="Times New Roman" w:hAnsi="Times New Roman"/>
                <w:color w:val="auto"/>
                <w:sz w:val="24"/>
                <w:szCs w:val="24"/>
              </w:rPr>
              <w:t>履约情况</w:t>
            </w:r>
          </w:p>
        </w:tc>
        <w:tc>
          <w:tcPr>
            <w:tcW w:w="6253" w:type="dxa"/>
            <w:noWrap w:val="0"/>
            <w:vAlign w:val="top"/>
          </w:tcPr>
          <w:p w14:paraId="129EC95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3A0ECA6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4D7C7D96">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7EA6779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6CA8703">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53A789EF">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p w14:paraId="13A0B7F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496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269" w:type="dxa"/>
            <w:noWrap w:val="0"/>
            <w:vAlign w:val="center"/>
          </w:tcPr>
          <w:p w14:paraId="6081B03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6253" w:type="dxa"/>
            <w:noWrap w:val="0"/>
            <w:vAlign w:val="top"/>
          </w:tcPr>
          <w:p w14:paraId="1EF2A07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01DEDA5B">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时间以合同签订时间为准。</w:t>
      </w:r>
    </w:p>
    <w:p w14:paraId="38A440E3">
      <w:pPr>
        <w:spacing w:line="440" w:lineRule="exact"/>
        <w:ind w:firstLine="480" w:firstLineChars="200"/>
        <w:rPr>
          <w:color w:val="auto"/>
          <w:sz w:val="24"/>
          <w:szCs w:val="24"/>
        </w:rPr>
      </w:pPr>
    </w:p>
    <w:p w14:paraId="4A6CE294">
      <w:pPr>
        <w:topLinePunct/>
        <w:spacing w:line="440" w:lineRule="exact"/>
        <w:rPr>
          <w:rFonts w:hint="eastAsia" w:ascii="仿宋" w:hAnsi="仿宋" w:eastAsia="仿宋" w:cs="仿宋"/>
          <w:color w:val="auto"/>
          <w:sz w:val="32"/>
          <w:szCs w:val="32"/>
        </w:rPr>
      </w:pPr>
    </w:p>
    <w:p w14:paraId="5DB9A21F">
      <w:pPr>
        <w:pStyle w:val="3"/>
        <w:spacing w:line="400" w:lineRule="exact"/>
        <w:jc w:val="both"/>
        <w:rPr>
          <w:rFonts w:hint="eastAsia" w:ascii="Times New Roman" w:hAnsi="Times New Roman"/>
          <w:color w:val="auto"/>
          <w:lang w:val="en-US" w:eastAsia="zh-CN"/>
        </w:rPr>
      </w:pPr>
    </w:p>
    <w:p w14:paraId="66D812BD">
      <w:pPr>
        <w:pStyle w:val="3"/>
        <w:spacing w:line="400" w:lineRule="exact"/>
        <w:jc w:val="both"/>
        <w:rPr>
          <w:rFonts w:hint="eastAsia" w:ascii="Times New Roman" w:hAnsi="Times New Roman"/>
          <w:color w:val="auto"/>
          <w:lang w:val="en-US" w:eastAsia="zh-CN"/>
        </w:rPr>
      </w:pPr>
    </w:p>
    <w:p w14:paraId="4F2C95AE">
      <w:pPr>
        <w:pStyle w:val="3"/>
        <w:spacing w:line="400" w:lineRule="exact"/>
        <w:jc w:val="both"/>
        <w:rPr>
          <w:rFonts w:hint="eastAsia" w:ascii="Times New Roman" w:hAnsi="Times New Roman"/>
          <w:color w:val="auto"/>
          <w:lang w:val="en-US" w:eastAsia="zh-CN"/>
        </w:rPr>
      </w:pPr>
    </w:p>
    <w:p w14:paraId="38B83FA9">
      <w:pPr>
        <w:pStyle w:val="3"/>
        <w:spacing w:line="400" w:lineRule="exact"/>
        <w:jc w:val="both"/>
        <w:rPr>
          <w:rFonts w:hint="eastAsia" w:ascii="Times New Roman" w:hAnsi="Times New Roman"/>
          <w:color w:val="auto"/>
          <w:lang w:val="en-US" w:eastAsia="zh-CN"/>
        </w:rPr>
      </w:pPr>
    </w:p>
    <w:p w14:paraId="612720AE">
      <w:pPr>
        <w:pStyle w:val="3"/>
        <w:spacing w:line="400" w:lineRule="exact"/>
        <w:jc w:val="both"/>
        <w:rPr>
          <w:rFonts w:hint="eastAsia" w:ascii="Times New Roman" w:hAnsi="Times New Roman"/>
          <w:color w:val="auto"/>
          <w:lang w:val="en-US" w:eastAsia="zh-CN"/>
        </w:rPr>
      </w:pPr>
    </w:p>
    <w:p w14:paraId="7C4FFD3B">
      <w:pPr>
        <w:pStyle w:val="3"/>
        <w:spacing w:line="400" w:lineRule="exact"/>
        <w:jc w:val="both"/>
        <w:rPr>
          <w:rFonts w:hint="eastAsia" w:ascii="Times New Roman" w:hAnsi="Times New Roman"/>
          <w:color w:val="auto"/>
          <w:lang w:val="en-US" w:eastAsia="zh-CN"/>
        </w:rPr>
      </w:pPr>
    </w:p>
    <w:p w14:paraId="4FFAAFAD">
      <w:pPr>
        <w:pStyle w:val="3"/>
        <w:spacing w:line="400" w:lineRule="exact"/>
        <w:jc w:val="both"/>
        <w:rPr>
          <w:rFonts w:hint="eastAsia" w:ascii="Times New Roman" w:hAnsi="Times New Roman"/>
          <w:color w:val="auto"/>
          <w:lang w:val="en-US" w:eastAsia="zh-CN"/>
        </w:rPr>
      </w:pPr>
    </w:p>
    <w:p w14:paraId="39679440">
      <w:pPr>
        <w:rPr>
          <w:rFonts w:hint="eastAsia"/>
          <w:lang w:val="en-US" w:eastAsia="zh-CN"/>
        </w:rPr>
      </w:pPr>
    </w:p>
    <w:p w14:paraId="40495D7C">
      <w:pPr>
        <w:pStyle w:val="3"/>
        <w:spacing w:line="400" w:lineRule="exact"/>
        <w:jc w:val="both"/>
        <w:rPr>
          <w:rFonts w:hint="eastAsia" w:ascii="Times New Roman" w:hAnsi="Times New Roman"/>
          <w:color w:val="auto"/>
        </w:rPr>
      </w:pPr>
      <w:r>
        <w:rPr>
          <w:rFonts w:hint="eastAsia" w:ascii="Times New Roman" w:hAnsi="Times New Roman"/>
          <w:color w:val="auto"/>
          <w:lang w:val="en-US" w:eastAsia="zh-CN"/>
        </w:rPr>
        <w:t>七</w:t>
      </w:r>
      <w:r>
        <w:rPr>
          <w:rFonts w:hint="eastAsia" w:ascii="Times New Roman" w:hAnsi="Times New Roman"/>
          <w:color w:val="auto"/>
        </w:rPr>
        <w:t>、</w:t>
      </w:r>
      <w:r>
        <w:rPr>
          <w:rFonts w:hint="eastAsia" w:ascii="Times New Roman" w:hAnsi="Times New Roman"/>
          <w:color w:val="auto"/>
          <w:lang w:eastAsia="zh-CN"/>
        </w:rPr>
        <w:t>响应方案（</w:t>
      </w:r>
      <w:r>
        <w:rPr>
          <w:rFonts w:hint="eastAsia" w:ascii="Times New Roman" w:hAnsi="Times New Roman"/>
          <w:color w:val="auto"/>
          <w:lang w:val="en-US" w:eastAsia="zh-CN"/>
        </w:rPr>
        <w:t>如有</w:t>
      </w:r>
      <w:r>
        <w:rPr>
          <w:rFonts w:hint="eastAsia" w:ascii="Times New Roman" w:hAnsi="Times New Roman"/>
          <w:color w:val="auto"/>
          <w:lang w:eastAsia="zh-CN"/>
        </w:rPr>
        <w:t>）</w:t>
      </w:r>
    </w:p>
    <w:p w14:paraId="12B5B9EE">
      <w:pPr>
        <w:ind w:firstLine="5440" w:firstLineChars="1700"/>
        <w:rPr>
          <w:rFonts w:hint="eastAsia" w:ascii="仿宋" w:hAnsi="仿宋" w:eastAsia="仿宋" w:cs="仿宋"/>
          <w:color w:val="auto"/>
          <w:sz w:val="32"/>
          <w:szCs w:val="32"/>
        </w:rPr>
      </w:pPr>
    </w:p>
    <w:p w14:paraId="1284A72A">
      <w:pPr>
        <w:topLinePunct/>
        <w:spacing w:line="440" w:lineRule="exact"/>
        <w:ind w:firstLine="640" w:firstLineChars="200"/>
        <w:jc w:val="center"/>
        <w:rPr>
          <w:rFonts w:hint="eastAsia" w:ascii="仿宋" w:hAnsi="仿宋" w:eastAsia="仿宋" w:cs="仿宋"/>
          <w:color w:val="auto"/>
          <w:sz w:val="32"/>
          <w:szCs w:val="32"/>
        </w:rPr>
      </w:pPr>
      <w:r>
        <w:rPr>
          <w:rFonts w:hint="eastAsia" w:ascii="仿宋" w:hAnsi="仿宋" w:eastAsia="仿宋" w:cs="仿宋"/>
          <w:color w:val="auto"/>
          <w:sz w:val="32"/>
          <w:szCs w:val="32"/>
        </w:rPr>
        <w:t>（格式自拟）</w:t>
      </w:r>
    </w:p>
    <w:p w14:paraId="33CC5F15">
      <w:pPr>
        <w:topLinePunct/>
        <w:spacing w:line="440" w:lineRule="exact"/>
        <w:ind w:firstLine="640" w:firstLineChars="200"/>
        <w:jc w:val="center"/>
        <w:rPr>
          <w:rFonts w:hint="eastAsia" w:ascii="仿宋" w:hAnsi="仿宋" w:eastAsia="仿宋" w:cs="仿宋"/>
          <w:color w:val="auto"/>
          <w:sz w:val="32"/>
          <w:szCs w:val="32"/>
        </w:rPr>
      </w:pPr>
    </w:p>
    <w:p w14:paraId="09463039">
      <w:pPr>
        <w:topLinePunct/>
        <w:spacing w:line="440" w:lineRule="exact"/>
        <w:ind w:firstLine="640" w:firstLineChars="20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各单位结合</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及</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的商务、技术要求提供</w:t>
      </w:r>
      <w:bookmarkStart w:id="63" w:name="_Toc504488783"/>
      <w:bookmarkStart w:id="64" w:name="_Toc22199"/>
      <w:r>
        <w:rPr>
          <w:rFonts w:hint="eastAsia" w:ascii="仿宋" w:hAnsi="仿宋" w:eastAsia="仿宋" w:cs="仿宋"/>
          <w:color w:val="auto"/>
          <w:sz w:val="32"/>
          <w:szCs w:val="32"/>
          <w:lang w:eastAsia="zh-CN"/>
        </w:rPr>
        <w:t>。</w:t>
      </w:r>
    </w:p>
    <w:p w14:paraId="3E349804">
      <w:pPr>
        <w:topLinePunct/>
        <w:spacing w:line="440" w:lineRule="exact"/>
        <w:ind w:firstLine="643" w:firstLineChars="200"/>
        <w:jc w:val="center"/>
        <w:rPr>
          <w:rFonts w:hint="eastAsia" w:ascii="Times New Roman" w:hAnsi="Times New Roman" w:eastAsia="黑体" w:cs="Times New Roman"/>
          <w:b/>
          <w:color w:val="auto"/>
          <w:kern w:val="2"/>
          <w:sz w:val="32"/>
          <w:szCs w:val="20"/>
          <w:lang w:val="en-US" w:eastAsia="zh-CN" w:bidi="ar-SA"/>
        </w:rPr>
      </w:pPr>
    </w:p>
    <w:bookmarkEnd w:id="63"/>
    <w:bookmarkEnd w:id="64"/>
    <w:p w14:paraId="669148EC">
      <w:pPr>
        <w:topLinePunct/>
        <w:spacing w:line="440" w:lineRule="exact"/>
        <w:jc w:val="both"/>
        <w:rPr>
          <w:rFonts w:hint="eastAsia" w:ascii="Times New Roman" w:hAnsi="Times New Roman" w:eastAsia="黑体" w:cs="Times New Roman"/>
          <w:b/>
          <w:color w:val="auto"/>
          <w:kern w:val="2"/>
          <w:sz w:val="32"/>
          <w:szCs w:val="20"/>
          <w:lang w:val="en-US" w:eastAsia="zh-CN" w:bidi="ar-SA"/>
        </w:rPr>
      </w:pPr>
    </w:p>
    <w:p w14:paraId="289D511F">
      <w:pPr>
        <w:rPr>
          <w:rFonts w:hint="eastAsia" w:ascii="Times New Roman" w:hAnsi="Times New Roman" w:eastAsia="黑体" w:cs="Times New Roman"/>
          <w:b/>
          <w:color w:val="auto"/>
          <w:kern w:val="2"/>
          <w:sz w:val="32"/>
          <w:szCs w:val="20"/>
          <w:lang w:val="en-US" w:eastAsia="zh-CN" w:bidi="ar-SA"/>
        </w:rPr>
      </w:pPr>
    </w:p>
    <w:p w14:paraId="7FBA8A93">
      <w:pPr>
        <w:jc w:val="center"/>
        <w:rPr>
          <w:color w:val="auto"/>
        </w:rPr>
      </w:pPr>
    </w:p>
    <w:p w14:paraId="09099D3B">
      <w:pPr>
        <w:rPr>
          <w:color w:val="auto"/>
        </w:rPr>
      </w:pPr>
    </w:p>
    <w:p w14:paraId="08CB969F">
      <w:pPr>
        <w:pStyle w:val="9"/>
        <w:keepNext w:val="0"/>
        <w:keepLines w:val="0"/>
        <w:widowControl/>
        <w:suppressLineNumbers w:val="0"/>
        <w:spacing w:before="0" w:beforeAutospacing="0" w:after="0" w:afterAutospacing="0" w:line="405" w:lineRule="atLeast"/>
        <w:ind w:left="0" w:firstLine="0"/>
        <w:jc w:val="center"/>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rPr>
        <w:t> </w:t>
      </w:r>
    </w:p>
    <w:p w14:paraId="1639A39A">
      <w:pPr>
        <w:pStyle w:val="9"/>
        <w:keepNext w:val="0"/>
        <w:keepLines w:val="0"/>
        <w:widowControl/>
        <w:suppressLineNumbers w:val="0"/>
        <w:spacing w:before="0" w:beforeAutospacing="0" w:after="0" w:afterAutospacing="0" w:line="405" w:lineRule="atLeast"/>
        <w:ind w:left="0" w:firstLine="0"/>
        <w:jc w:val="center"/>
        <w:rPr>
          <w:rFonts w:hint="eastAsia" w:ascii="宋体" w:hAnsi="宋体" w:eastAsia="宋体" w:cs="宋体"/>
          <w:i w:val="0"/>
          <w:iCs w:val="0"/>
          <w:caps w:val="0"/>
          <w:color w:val="000000"/>
          <w:spacing w:val="0"/>
          <w:sz w:val="32"/>
          <w:szCs w:val="32"/>
        </w:rPr>
      </w:pPr>
      <w:r>
        <w:rPr>
          <w:rFonts w:hint="eastAsia" w:ascii="仿宋" w:hAnsi="仿宋" w:eastAsia="仿宋" w:cs="仿宋"/>
          <w:i w:val="0"/>
          <w:iCs w:val="0"/>
          <w:caps w:val="0"/>
          <w:color w:val="000000"/>
          <w:spacing w:val="0"/>
          <w:sz w:val="28"/>
          <w:szCs w:val="28"/>
        </w:rPr>
        <w:t>                                         </w:t>
      </w:r>
      <w:r>
        <w:rPr>
          <w:rFonts w:hint="eastAsia" w:ascii="宋体" w:hAnsi="宋体" w:eastAsia="宋体" w:cs="宋体"/>
          <w:i w:val="0"/>
          <w:iCs w:val="0"/>
          <w:caps w:val="0"/>
          <w:color w:val="000000"/>
          <w:spacing w:val="0"/>
          <w:sz w:val="32"/>
          <w:szCs w:val="32"/>
        </w:rPr>
        <w:t> </w:t>
      </w:r>
    </w:p>
    <w:p w14:paraId="3FD93CF9">
      <w:pPr>
        <w:pStyle w:val="9"/>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宋体" w:hAnsi="宋体" w:eastAsia="宋体" w:cs="宋体"/>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 陕西锌业有限公司</w:t>
      </w:r>
    </w:p>
    <w:p w14:paraId="768ED42D">
      <w:pPr>
        <w:pStyle w:val="9"/>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           </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 2025年</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月</w:t>
      </w:r>
      <w:r>
        <w:rPr>
          <w:rFonts w:hint="eastAsia" w:ascii="仿宋" w:hAnsi="仿宋" w:eastAsia="仿宋" w:cs="仿宋"/>
          <w:i w:val="0"/>
          <w:iCs w:val="0"/>
          <w:caps w:val="0"/>
          <w:color w:val="000000"/>
          <w:spacing w:val="0"/>
          <w:sz w:val="32"/>
          <w:szCs w:val="32"/>
          <w:lang w:val="en-US" w:eastAsia="zh-CN"/>
        </w:rPr>
        <w:t xml:space="preserve">  </w:t>
      </w:r>
      <w:r>
        <w:rPr>
          <w:rFonts w:hint="eastAsia" w:ascii="仿宋" w:hAnsi="仿宋" w:eastAsia="仿宋" w:cs="仿宋"/>
          <w:i w:val="0"/>
          <w:iCs w:val="0"/>
          <w:caps w:val="0"/>
          <w:color w:val="000000"/>
          <w:spacing w:val="0"/>
          <w:sz w:val="32"/>
          <w:szCs w:val="32"/>
        </w:rPr>
        <w:t>日</w:t>
      </w:r>
    </w:p>
    <w:p w14:paraId="0394688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66D7DE-89E9-4A17-9943-ECE509F705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F7FAA043-0048-4BB8-9FC7-CF5595775CA6}"/>
  </w:font>
  <w:font w:name="微软雅黑">
    <w:panose1 w:val="020B0503020204020204"/>
    <w:charset w:val="86"/>
    <w:family w:val="auto"/>
    <w:pitch w:val="default"/>
    <w:sig w:usb0="80000287" w:usb1="2ACF3C50" w:usb2="00000016" w:usb3="00000000" w:csb0="0004001F" w:csb1="00000000"/>
    <w:embedRegular r:id="rId3" w:fontKey="{F32E8532-0AAD-478D-A0F8-41047766CCF1}"/>
  </w:font>
  <w:font w:name="新宋体">
    <w:panose1 w:val="02010609030101010101"/>
    <w:charset w:val="86"/>
    <w:family w:val="modern"/>
    <w:pitch w:val="default"/>
    <w:sig w:usb0="00000203" w:usb1="288F0000" w:usb2="00000006" w:usb3="00000000" w:csb0="00040001" w:csb1="00000000"/>
    <w:embedRegular r:id="rId4" w:fontKey="{E71B5E36-B3E0-443E-8B4B-EEB0C7E5190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0088E">
    <w:pPr>
      <w:pStyle w:val="16"/>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A6A5FD">
                          <w:pPr>
                            <w:pStyle w:val="8"/>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3A6A5FD">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E55EC">
    <w:pPr>
      <w:pStyle w:val="21"/>
      <w:framePr w:wrap="around" w:vAnchor="text" w:hAnchor="margin" w:xAlign="center" w:y="1"/>
      <w:rPr>
        <w:rStyle w:val="22"/>
      </w:rPr>
    </w:pPr>
    <w:r>
      <w:rPr>
        <w:rStyle w:val="22"/>
      </w:rPr>
      <w:fldChar w:fldCharType="begin"/>
    </w:r>
    <w:r>
      <w:rPr>
        <w:rStyle w:val="22"/>
      </w:rPr>
      <w:instrText xml:space="preserve">PAGE  </w:instrText>
    </w:r>
    <w:r>
      <w:rPr>
        <w:rStyle w:val="22"/>
      </w:rPr>
      <w:fldChar w:fldCharType="end"/>
    </w:r>
  </w:p>
  <w:p w14:paraId="0B891D53">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AB3C2">
    <w:pPr>
      <w:pStyle w:val="2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A96B68"/>
    <w:rsid w:val="023E2922"/>
    <w:rsid w:val="0367685A"/>
    <w:rsid w:val="04E3112D"/>
    <w:rsid w:val="0598027F"/>
    <w:rsid w:val="063A3D8E"/>
    <w:rsid w:val="07746A18"/>
    <w:rsid w:val="0C2D1053"/>
    <w:rsid w:val="0C762524"/>
    <w:rsid w:val="0D3F27E7"/>
    <w:rsid w:val="102F1EF5"/>
    <w:rsid w:val="11BF336F"/>
    <w:rsid w:val="130812F6"/>
    <w:rsid w:val="15350822"/>
    <w:rsid w:val="15D66E82"/>
    <w:rsid w:val="183B2A8F"/>
    <w:rsid w:val="19BF0744"/>
    <w:rsid w:val="19BF485E"/>
    <w:rsid w:val="1C12049E"/>
    <w:rsid w:val="1D3D3823"/>
    <w:rsid w:val="1E391A9E"/>
    <w:rsid w:val="1FBA4E97"/>
    <w:rsid w:val="21834158"/>
    <w:rsid w:val="21D271B9"/>
    <w:rsid w:val="226546C9"/>
    <w:rsid w:val="231A6A24"/>
    <w:rsid w:val="241430A6"/>
    <w:rsid w:val="27723730"/>
    <w:rsid w:val="27C22742"/>
    <w:rsid w:val="28D56A54"/>
    <w:rsid w:val="295F349E"/>
    <w:rsid w:val="2D664737"/>
    <w:rsid w:val="2E377F5E"/>
    <w:rsid w:val="2EB3170E"/>
    <w:rsid w:val="2F3063B0"/>
    <w:rsid w:val="2F9A5D59"/>
    <w:rsid w:val="31832E12"/>
    <w:rsid w:val="32932214"/>
    <w:rsid w:val="333D3C9C"/>
    <w:rsid w:val="339B5162"/>
    <w:rsid w:val="33D371CA"/>
    <w:rsid w:val="33FA37DC"/>
    <w:rsid w:val="34DD5644"/>
    <w:rsid w:val="3A561988"/>
    <w:rsid w:val="3B882F0B"/>
    <w:rsid w:val="3C190507"/>
    <w:rsid w:val="3CB63F34"/>
    <w:rsid w:val="3FC05C00"/>
    <w:rsid w:val="41962306"/>
    <w:rsid w:val="427D180C"/>
    <w:rsid w:val="42A17DA3"/>
    <w:rsid w:val="42BA6F5D"/>
    <w:rsid w:val="433C5D1E"/>
    <w:rsid w:val="4549119F"/>
    <w:rsid w:val="460F14C8"/>
    <w:rsid w:val="47AC2D16"/>
    <w:rsid w:val="487412FF"/>
    <w:rsid w:val="48AE4FC8"/>
    <w:rsid w:val="4B142AA2"/>
    <w:rsid w:val="4B896DF6"/>
    <w:rsid w:val="4CB27A82"/>
    <w:rsid w:val="4D66647C"/>
    <w:rsid w:val="509B2FD7"/>
    <w:rsid w:val="524F1A19"/>
    <w:rsid w:val="52786485"/>
    <w:rsid w:val="54853C7B"/>
    <w:rsid w:val="56F815DC"/>
    <w:rsid w:val="57446874"/>
    <w:rsid w:val="5888746C"/>
    <w:rsid w:val="59434F3C"/>
    <w:rsid w:val="5B97061C"/>
    <w:rsid w:val="5C2B04AE"/>
    <w:rsid w:val="604313DE"/>
    <w:rsid w:val="626C7BB7"/>
    <w:rsid w:val="62FA1BE5"/>
    <w:rsid w:val="66452F0C"/>
    <w:rsid w:val="669232D9"/>
    <w:rsid w:val="68754AC9"/>
    <w:rsid w:val="69E314DA"/>
    <w:rsid w:val="69F446AA"/>
    <w:rsid w:val="6C994B32"/>
    <w:rsid w:val="6D102048"/>
    <w:rsid w:val="6E963AB6"/>
    <w:rsid w:val="700E0640"/>
    <w:rsid w:val="76987E92"/>
    <w:rsid w:val="78430AA8"/>
    <w:rsid w:val="7F6F5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5">
    <w:name w:val="heading 4"/>
    <w:basedOn w:val="1"/>
    <w:next w:val="6"/>
    <w:qFormat/>
    <w:uiPriority w:val="0"/>
    <w:pPr>
      <w:ind w:left="966" w:hanging="490"/>
      <w:outlineLvl w:val="3"/>
    </w:pPr>
    <w:rPr>
      <w:rFonts w:ascii="Times New Roman" w:hAnsi="Times New Roman" w:eastAsia="宋体" w:cs="Times New Roman"/>
      <w:b/>
      <w:bCs/>
      <w:sz w:val="28"/>
      <w:szCs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7">
    <w:name w:val="Body Text Indent"/>
    <w:basedOn w:val="1"/>
    <w:qFormat/>
    <w:uiPriority w:val="0"/>
    <w:pPr>
      <w:widowControl/>
      <w:spacing w:after="50" w:afterLines="50" w:line="360" w:lineRule="auto"/>
      <w:ind w:firstLine="600" w:firstLineChars="250"/>
      <w:jc w:val="left"/>
    </w:pPr>
    <w:rPr>
      <w:rFonts w:eastAsia="楷体_GB2312"/>
      <w:kern w:val="0"/>
      <w:sz w:val="24"/>
      <w:szCs w:val="20"/>
    </w:rPr>
  </w:style>
  <w:style w:type="paragraph" w:styleId="8">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7"/>
    <w:qFormat/>
    <w:uiPriority w:val="0"/>
    <w:pPr>
      <w:spacing w:after="0" w:line="600" w:lineRule="exact"/>
      <w:ind w:left="0" w:leftChars="0" w:firstLine="420" w:firstLineChars="200"/>
    </w:p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6">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7">
    <w:name w:val="font71"/>
    <w:basedOn w:val="12"/>
    <w:qFormat/>
    <w:uiPriority w:val="0"/>
    <w:rPr>
      <w:rFonts w:hint="eastAsia" w:ascii="宋体" w:hAnsi="宋体" w:eastAsia="宋体" w:cs="宋体"/>
      <w:b/>
      <w:bCs/>
      <w:color w:val="000000"/>
      <w:sz w:val="24"/>
      <w:szCs w:val="24"/>
      <w:u w:val="none"/>
    </w:rPr>
  </w:style>
  <w:style w:type="character" w:customStyle="1" w:styleId="18">
    <w:name w:val="font81"/>
    <w:basedOn w:val="12"/>
    <w:qFormat/>
    <w:uiPriority w:val="0"/>
    <w:rPr>
      <w:rFonts w:hint="eastAsia" w:ascii="宋体" w:hAnsi="宋体" w:eastAsia="宋体" w:cs="宋体"/>
      <w:color w:val="000000"/>
      <w:sz w:val="24"/>
      <w:szCs w:val="24"/>
      <w:u w:val="none"/>
    </w:rPr>
  </w:style>
  <w:style w:type="character" w:customStyle="1" w:styleId="19">
    <w:name w:val="font91"/>
    <w:basedOn w:val="12"/>
    <w:qFormat/>
    <w:uiPriority w:val="0"/>
    <w:rPr>
      <w:rFonts w:hint="eastAsia" w:ascii="宋体" w:hAnsi="宋体" w:eastAsia="宋体" w:cs="宋体"/>
      <w:color w:val="000000"/>
      <w:sz w:val="21"/>
      <w:szCs w:val="21"/>
      <w:u w:val="none"/>
    </w:rPr>
  </w:style>
  <w:style w:type="paragraph" w:customStyle="1" w:styleId="20">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1">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2">
    <w:name w:val="Page Number1"/>
    <w:basedOn w:val="12"/>
    <w:qFormat/>
    <w:uiPriority w:val="0"/>
    <w:rPr>
      <w:rFonts w:ascii="Times New Roman" w:hAnsi="Times New Roman" w:eastAsia="宋体" w:cs="Times New Roman"/>
    </w:rPr>
  </w:style>
  <w:style w:type="paragraph" w:customStyle="1" w:styleId="23">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5280</Words>
  <Characters>5421</Characters>
  <Lines>0</Lines>
  <Paragraphs>0</Paragraphs>
  <TotalTime>13</TotalTime>
  <ScaleCrop>false</ScaleCrop>
  <LinksUpToDate>false</LinksUpToDate>
  <CharactersWithSpaces>5832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李晶</cp:lastModifiedBy>
  <cp:lastPrinted>2025-10-31T01:53:00Z</cp:lastPrinted>
  <dcterms:modified xsi:type="dcterms:W3CDTF">2025-11-05T07:28:36Z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C9B304156E7D4BE893918C63A58CBE47_13</vt:lpwstr>
  </property>
  <property fmtid="{D5CDD505-2E9C-101B-9397-08002B2CF9AE}" pid="4" name="KSOTemplateDocerSaveRecord">
    <vt:lpwstr>eyJoZGlkIjoiM2ExNjY5MWQ0OWUzYjcxZjUxYWY0YjAzMjk0YjQ0NDAiLCJ1c2VySWQiOiI2Mjg3MjA1MDUifQ==</vt:lpwstr>
  </property>
</Properties>
</file>